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outlineLvl w:val="0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43890"/>
                <wp:effectExtent l="0" t="0" r="381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0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widowControl w:val="off"/>
        <w:rPr>
          <w:sz w:val="22"/>
          <w:szCs w:val="22"/>
        </w:rPr>
        <w:outlineLvl w:val="0"/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line="240" w:lineRule="auto"/>
        <w:widowControl w:val="o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МИНИСТЕРСТВО ТРУДА И СОЦИАЛЬНОГО РАЗВИТИЯ</w:t>
      </w:r>
      <w:r>
        <w:rPr>
          <w:b/>
          <w:bCs/>
          <w:sz w:val="27"/>
          <w:szCs w:val="27"/>
        </w:rPr>
      </w:r>
    </w:p>
    <w:p>
      <w:pPr>
        <w:jc w:val="center"/>
        <w:spacing w:after="0" w:line="240" w:lineRule="auto"/>
        <w:widowControl w:val="o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НОВОСИБИРСКОЙ ОБЛАСТИ</w:t>
      </w:r>
      <w:r>
        <w:rPr>
          <w:b/>
          <w:bCs/>
          <w:sz w:val="27"/>
          <w:szCs w:val="27"/>
        </w:rPr>
      </w:r>
    </w:p>
    <w:p>
      <w:pPr>
        <w:jc w:val="center"/>
        <w:spacing w:after="0" w:line="240" w:lineRule="auto"/>
        <w:widowControl w:val="off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center"/>
        <w:spacing w:after="0" w:line="240" w:lineRule="auto"/>
        <w:widowControl w:val="off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ПРИКАЗ</w:t>
      </w:r>
      <w:r>
        <w:rPr>
          <w:b/>
          <w:bCs/>
          <w:sz w:val="27"/>
          <w:szCs w:val="27"/>
        </w:rPr>
      </w:r>
    </w:p>
    <w:p>
      <w:pPr>
        <w:jc w:val="center"/>
        <w:spacing w:after="0" w:line="240" w:lineRule="auto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spacing w:after="0" w:line="240" w:lineRule="auto"/>
        <w:widowControl w:val="off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___________                                                                                             № _________</w:t>
      </w:r>
      <w:r>
        <w:rPr>
          <w:bCs/>
          <w:sz w:val="27"/>
          <w:szCs w:val="27"/>
        </w:rPr>
      </w:r>
    </w:p>
    <w:p>
      <w:pPr>
        <w:jc w:val="center"/>
        <w:spacing w:after="0" w:line="240" w:lineRule="auto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center"/>
        <w:spacing w:after="0" w:line="240" w:lineRule="auto"/>
        <w:widowControl w:val="off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</w:p>
    <w:p>
      <w:pPr>
        <w:jc w:val="center"/>
        <w:spacing w:after="0" w:line="240" w:lineRule="auto"/>
        <w:widowControl w:val="off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firstLine="540"/>
        <w:jc w:val="center"/>
        <w:spacing w:after="0" w:line="240" w:lineRule="auto"/>
        <w:widowControl w:val="off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 внесении изменений в приказ министерства социального</w:t>
      </w:r>
      <w:r>
        <w:rPr>
          <w:bCs/>
          <w:sz w:val="27"/>
          <w:szCs w:val="27"/>
        </w:rPr>
      </w:r>
    </w:p>
    <w:p>
      <w:pPr>
        <w:ind w:firstLine="540"/>
        <w:jc w:val="center"/>
        <w:spacing w:after="0" w:line="240" w:lineRule="auto"/>
        <w:widowControl w:val="off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развития</w:t>
      </w:r>
      <w:r>
        <w:rPr>
          <w:bCs/>
          <w:sz w:val="27"/>
          <w:szCs w:val="27"/>
        </w:rPr>
        <w:t xml:space="preserve"> Новосибирской области от 26.12.2016 № 1058</w:t>
      </w:r>
      <w:r>
        <w:rPr>
          <w:bCs/>
          <w:sz w:val="27"/>
          <w:szCs w:val="27"/>
        </w:rPr>
      </w:r>
    </w:p>
    <w:p>
      <w:pPr>
        <w:jc w:val="both"/>
        <w:spacing w:after="0" w:line="240" w:lineRule="auto"/>
        <w:widowControl w:val="o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after="0" w:line="240" w:lineRule="auto"/>
        <w:widowControl w:val="o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ПРИКАЗЫВАЮ:</w:t>
      </w:r>
      <w:r>
        <w:rPr>
          <w:b/>
          <w:sz w:val="27"/>
          <w:szCs w:val="27"/>
        </w:rPr>
      </w:r>
    </w:p>
    <w:p>
      <w:pPr>
        <w:jc w:val="both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социального развития Новосибирской области от 26.12.2016 № 1058 «Об утверждении П</w:t>
      </w:r>
      <w:r>
        <w:rPr>
          <w:sz w:val="28"/>
          <w:szCs w:val="28"/>
        </w:rPr>
        <w:t xml:space="preserve">орядка расходования денежных средств недееспособных граждан, находящихся на социальном обслуживании в стационарной форме в организациях социального обслуживания, подведомственных министерству социального развития Новосибирской области»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наименовании слова «</w:t>
      </w:r>
      <w:r>
        <w:rPr>
          <w:sz w:val="28"/>
          <w:szCs w:val="28"/>
        </w:rPr>
        <w:t xml:space="preserve">министерству социального развития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министерству</w:t>
      </w:r>
      <w:r>
        <w:rPr>
          <w:sz w:val="28"/>
          <w:szCs w:val="28"/>
        </w:rPr>
        <w:t xml:space="preserve"> труда и</w:t>
      </w:r>
      <w:r>
        <w:rPr>
          <w:sz w:val="28"/>
          <w:szCs w:val="28"/>
        </w:rPr>
        <w:t xml:space="preserve"> социального развития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 В преамбуле</w:t>
      </w:r>
      <w:r>
        <w:rPr>
          <w:sz w:val="28"/>
          <w:szCs w:val="28"/>
        </w:rPr>
        <w:t xml:space="preserve">, в пункте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«министерству социального развития» заменить словами «министерству труда и социального развития».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В пункте 2 слова «заместителя министра социального развития Новосибирской области Лысову Г.И.» заменить словами «заместителя министра труда и социального развития Новосибирской области </w:t>
      </w:r>
      <w:r>
        <w:rPr>
          <w:sz w:val="28"/>
          <w:szCs w:val="28"/>
        </w:rPr>
        <w:t xml:space="preserve">Машанова</w:t>
      </w:r>
      <w:r>
        <w:rPr>
          <w:sz w:val="28"/>
          <w:szCs w:val="28"/>
        </w:rPr>
        <w:t xml:space="preserve"> В.А.».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В Порядке расходования денежных средств недееспособных граждан, находящихся на социальном обслуживании в стационарной форме в организациях социального обслуживания, подведомственных министерству социального развития Новосибирской области: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 xml:space="preserve">слова «министерству социального развития» заменить словами «министерству труда и социального развития»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слова «министерству социального развития» заменить словами «министерству труда и социального </w:t>
      </w:r>
      <w:r>
        <w:rPr>
          <w:sz w:val="28"/>
          <w:szCs w:val="28"/>
        </w:rPr>
        <w:t xml:space="preserve">развития»;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подпункте 2 пункта 3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не должна быть выше средних потребительских цен по Новосибирской области и по городу Новосибирску, размещенных на официальном сайте Территориального органа Федеральной службы государственной статистики по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 заменить словами «методом сопоставимых рыночных цен»;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в пункте 5: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 в абзаце первом слова «к акту приобретения товаров (работ, услуг) для нужд недееспособного получателя социальных услуг (далее – акт приобретения)» заменить словами «к акту приобретения</w:t>
      </w:r>
      <w:r>
        <w:rPr>
          <w:sz w:val="28"/>
          <w:szCs w:val="28"/>
        </w:rPr>
        <w:t xml:space="preserve"> и выдачи товаров (работ, услуг</w:t>
      </w:r>
      <w:r>
        <w:rPr>
          <w:sz w:val="28"/>
          <w:szCs w:val="28"/>
        </w:rPr>
        <w:t xml:space="preserve">) для нужд недееспособного получателя социальных услуг (далее – акт приобретения и выдачи)»;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 абзац третий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счет средств недееспособных получателей социальных услуг допускается п</w:t>
      </w:r>
      <w:r>
        <w:rPr>
          <w:sz w:val="28"/>
          <w:szCs w:val="28"/>
        </w:rPr>
        <w:t xml:space="preserve">риобретение мягкого инвентаря (одежды, обуви) сверх нормативов, утвержденных приказом министерства социального развития Новосибирской области от 27.10.2014 № 1257, при наличии заявления недееспособн</w:t>
      </w:r>
      <w:r>
        <w:rPr>
          <w:sz w:val="28"/>
          <w:szCs w:val="28"/>
        </w:rPr>
        <w:t xml:space="preserve">ого получателя</w:t>
      </w:r>
      <w:r>
        <w:rPr>
          <w:sz w:val="28"/>
          <w:szCs w:val="28"/>
        </w:rPr>
        <w:t xml:space="preserve"> социальных услуг либо пожелани</w:t>
      </w:r>
      <w:r>
        <w:rPr>
          <w:sz w:val="28"/>
          <w:szCs w:val="28"/>
        </w:rPr>
        <w:t xml:space="preserve">й, зафиксированных на основании его</w:t>
      </w:r>
      <w:r>
        <w:rPr>
          <w:sz w:val="28"/>
          <w:szCs w:val="28"/>
        </w:rPr>
        <w:t xml:space="preserve"> индивидуального опроса, в случае отсутствия у недееспособн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навыков письма.»;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 абзац четвертый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«За счет средств недееспособных получателей социальных услуг приобретение лекарственных препаратов</w:t>
      </w:r>
      <w:r>
        <w:t xml:space="preserve"> </w:t>
      </w:r>
      <w:r>
        <w:rPr>
          <w:sz w:val="28"/>
          <w:szCs w:val="28"/>
        </w:rPr>
        <w:t xml:space="preserve">допускается по назначению врача.»;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дополнить абзац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«Оплата медицинских обследований, диагностических исследований</w:t>
      </w:r>
      <w:r>
        <w:rPr>
          <w:sz w:val="28"/>
          <w:szCs w:val="28"/>
        </w:rPr>
        <w:t xml:space="preserve">, за счет средств недееспособных получателей социальных услуг допускается в случае, если они не входят в базовую программу обязательного медицинского страхования или </w:t>
      </w:r>
      <w:r>
        <w:rPr>
          <w:sz w:val="28"/>
          <w:szCs w:val="28"/>
        </w:rPr>
        <w:t xml:space="preserve">срок ожидания в</w:t>
      </w:r>
      <w:r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 xml:space="preserve">и состав</w:t>
      </w:r>
      <w:r>
        <w:rPr>
          <w:sz w:val="28"/>
          <w:szCs w:val="28"/>
        </w:rPr>
        <w:t xml:space="preserve">ляет</w:t>
      </w:r>
      <w:r>
        <w:rPr>
          <w:sz w:val="28"/>
          <w:szCs w:val="28"/>
        </w:rPr>
        <w:t xml:space="preserve"> более 30 дней.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недееспособных получателей социальных услуг</w:t>
      </w:r>
      <w:r>
        <w:rPr>
          <w:sz w:val="28"/>
          <w:szCs w:val="28"/>
        </w:rPr>
        <w:t xml:space="preserve"> допускается заключение прижизненного договора на оказание ритуальных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интересах недееспособных получателей социальных услуг.»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в пункте 6: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абзацы </w:t>
      </w:r>
      <w:r>
        <w:rPr>
          <w:sz w:val="28"/>
          <w:szCs w:val="28"/>
        </w:rPr>
        <w:t xml:space="preserve">перв</w:t>
      </w:r>
      <w:r>
        <w:rPr>
          <w:sz w:val="28"/>
          <w:szCs w:val="28"/>
        </w:rPr>
        <w:t xml:space="preserve">ый и второй 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Наличные денежные средства выдаются на срок не более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 дней. </w:t>
      </w:r>
      <w:r>
        <w:rPr>
          <w:sz w:val="28"/>
          <w:szCs w:val="28"/>
        </w:rPr>
        <w:t xml:space="preserve">В течение 2 рабочих дней</w:t>
      </w:r>
      <w:r>
        <w:rPr>
          <w:sz w:val="28"/>
          <w:szCs w:val="28"/>
        </w:rPr>
        <w:t xml:space="preserve"> ответственным лицом составляется акт приобретения</w:t>
      </w:r>
      <w:r>
        <w:rPr>
          <w:sz w:val="28"/>
          <w:szCs w:val="28"/>
        </w:rPr>
        <w:t xml:space="preserve"> и выдачи</w:t>
      </w:r>
      <w:r>
        <w:rPr>
          <w:sz w:val="28"/>
          <w:szCs w:val="28"/>
        </w:rPr>
        <w:t xml:space="preserve">. В акте приобретения</w:t>
      </w:r>
      <w:r>
        <w:rPr>
          <w:sz w:val="28"/>
          <w:szCs w:val="28"/>
        </w:rPr>
        <w:t xml:space="preserve"> и выдачи</w:t>
      </w:r>
      <w:r>
        <w:rPr>
          <w:sz w:val="28"/>
          <w:szCs w:val="28"/>
        </w:rPr>
        <w:t xml:space="preserve"> указывается перечень товаров (работ, услуг), приобретаемых недееспособному получателю социальных услуг. Акт подписывается всеми членами комиссии, </w:t>
      </w:r>
      <w:r>
        <w:rPr>
          <w:sz w:val="28"/>
          <w:szCs w:val="28"/>
        </w:rPr>
        <w:t xml:space="preserve">сброшюровыва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, хран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тся в организации не менее 5 лет. Подчистки и исправления в акте не допускаются.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Акты приобретения и выдачи хранятся вместе с протоколами заседания комиссии.»;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 в абзаце третьем слова «в разрезе каждого ответственного лица» заменить словами «в отношении каждого ответственного лица»;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t xml:space="preserve"> </w:t>
      </w:r>
      <w:r>
        <w:rPr>
          <w:sz w:val="28"/>
          <w:szCs w:val="28"/>
        </w:rPr>
        <w:t xml:space="preserve">абзац четвертый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«Выдача товаров недееспособному получателю социальных услуг осуществляется в присутствии членов комиссии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приобретения и выдачи </w:t>
      </w:r>
      <w:r>
        <w:rPr>
          <w:sz w:val="28"/>
          <w:szCs w:val="28"/>
        </w:rPr>
        <w:t xml:space="preserve">фиксируется</w:t>
      </w:r>
      <w:r>
        <w:rPr>
          <w:sz w:val="28"/>
          <w:szCs w:val="28"/>
        </w:rPr>
        <w:t xml:space="preserve"> дата</w:t>
      </w:r>
      <w:r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приобретенных </w:t>
      </w:r>
      <w:r>
        <w:rPr>
          <w:sz w:val="28"/>
          <w:szCs w:val="28"/>
        </w:rPr>
        <w:t xml:space="preserve">товаров (</w:t>
      </w:r>
      <w:r>
        <w:rPr>
          <w:sz w:val="28"/>
          <w:szCs w:val="28"/>
        </w:rPr>
        <w:t xml:space="preserve">выполненных </w:t>
      </w:r>
      <w:r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оказанных </w:t>
      </w:r>
      <w:r>
        <w:rPr>
          <w:sz w:val="28"/>
          <w:szCs w:val="28"/>
        </w:rPr>
        <w:t xml:space="preserve">услуг)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пункт 7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При нахождении недееспособного получателя социальных услуг временно на лечении в медицинской организации или иной организации </w:t>
      </w:r>
      <w:r>
        <w:rPr>
          <w:sz w:val="28"/>
          <w:szCs w:val="28"/>
        </w:rPr>
        <w:t xml:space="preserve">приобретенные товары</w:t>
      </w:r>
      <w:r>
        <w:rPr>
          <w:sz w:val="28"/>
          <w:szCs w:val="28"/>
        </w:rPr>
        <w:t xml:space="preserve"> (результат выполненных работ</w:t>
      </w:r>
      <w:r>
        <w:rPr>
          <w:sz w:val="28"/>
          <w:szCs w:val="28"/>
        </w:rPr>
        <w:t xml:space="preserve">, услуг) передаются в присутствии представителя медицинской организации или иной организации</w:t>
      </w:r>
      <w:r>
        <w:rPr>
          <w:sz w:val="28"/>
          <w:szCs w:val="28"/>
        </w:rPr>
        <w:t xml:space="preserve">, в акте</w:t>
      </w:r>
      <w:r>
        <w:rPr>
          <w:sz w:val="28"/>
          <w:szCs w:val="28"/>
        </w:rPr>
        <w:t xml:space="preserve"> приобретения и выдачи </w:t>
      </w:r>
      <w:r>
        <w:rPr>
          <w:sz w:val="28"/>
          <w:szCs w:val="28"/>
        </w:rPr>
        <w:t xml:space="preserve">фиксируется передача приобретенных товаров.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в пункте 8: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8. </w:t>
      </w:r>
      <w:r>
        <w:rPr>
          <w:rFonts w:eastAsia="Times New Roman"/>
          <w:color w:val="000000"/>
          <w:sz w:val="28"/>
        </w:rPr>
        <w:t xml:space="preserve">При переводе недееспособного получателя социальных услуг из одной организации в другую, принадлежащие ему денежные средства, </w:t>
      </w:r>
      <w:r>
        <w:rPr>
          <w:rFonts w:eastAsia="Times New Roman"/>
          <w:color w:val="000000"/>
          <w:sz w:val="28"/>
        </w:rPr>
        <w:t xml:space="preserve">находящиеся </w:t>
      </w:r>
      <w:r>
        <w:rPr>
          <w:rFonts w:eastAsia="Times New Roman"/>
          <w:color w:val="000000"/>
          <w:sz w:val="28"/>
        </w:rPr>
        <w:t xml:space="preserve">на счете организации, перечисляются одной организацией на соответствующий счет другой организации, в которую недееспособный получатель социальных услуг поступает.»</w:t>
      </w:r>
      <w:r/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 дополнить абзацем следующего содержания: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«Переоформление номинального счета осуществляется организацией, в которую недееспособны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социальных услуг поступа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т.»;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приложение № 1 изложить в редакции согласно приложению к настоящему приказу;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приложения № 2, 3 признать утратившими силу.</w:t>
      </w:r>
      <w:r>
        <w:rPr>
          <w:sz w:val="28"/>
          <w:szCs w:val="28"/>
        </w:rPr>
      </w:r>
    </w:p>
    <w:p>
      <w:pPr>
        <w:pStyle w:val="902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ind w:left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02"/>
        <w:ind w:left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                                                                  Е.В. </w:t>
      </w:r>
      <w:r>
        <w:rPr>
          <w:color w:val="000000"/>
          <w:sz w:val="28"/>
          <w:szCs w:val="28"/>
        </w:rPr>
        <w:t xml:space="preserve">Бахарева</w:t>
      </w:r>
      <w:r>
        <w:rPr>
          <w:color w:val="000000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приказу министерства труда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 № ______ </w:t>
      </w:r>
      <w:r/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Порядку расходования денежных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средств</w:t>
      </w:r>
      <w:r>
        <w:rPr>
          <w:rFonts w:ascii="Times New Roman" w:hAnsi="Times New Roman" w:cs="Times New Roman"/>
          <w:sz w:val="28"/>
          <w:szCs w:val="28"/>
        </w:rPr>
        <w:t xml:space="preserve"> недееспособных граждан,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социальном обслуживании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стационарной форме в организациях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обслуживания, подведомственных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91"/>
        <w:jc w:val="right"/>
        <w:outlineLvl w:val="0"/>
      </w:pPr>
      <w:r/>
      <w:r/>
    </w:p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right"/>
        <w:outlineLvl w:val="0"/>
      </w:pPr>
      <w:r/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(</w:t>
      </w:r>
      <w:r>
        <w:rPr>
          <w:rFonts w:ascii="Times New Roman" w:hAnsi="Times New Roman" w:cs="Times New Roman"/>
        </w:rPr>
        <w:t xml:space="preserve">наименование</w:t>
      </w:r>
      <w:r>
        <w:rPr>
          <w:rFonts w:ascii="Times New Roman" w:hAnsi="Times New Roman" w:cs="Times New Roman"/>
        </w:rPr>
        <w:t xml:space="preserve"> подведомственной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организации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лице ________________________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 xml:space="preserve">наименование</w:t>
      </w:r>
      <w:r>
        <w:rPr>
          <w:rFonts w:ascii="Times New Roman" w:hAnsi="Times New Roman" w:cs="Times New Roman"/>
        </w:rPr>
        <w:t xml:space="preserve"> должности)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 _____________________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) (расшифровка подписи)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«____» ____________ 20___</w:t>
      </w:r>
      <w:r/>
    </w:p>
    <w:p>
      <w:pPr>
        <w:pStyle w:val="891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М.П.</w:t>
      </w:r>
      <w:r/>
    </w:p>
    <w:p>
      <w:pPr>
        <w:pStyle w:val="891"/>
        <w:outlineLvl w:val="0"/>
      </w:pPr>
      <w:r/>
      <w:r/>
    </w:p>
    <w:p>
      <w:pPr>
        <w:pStyle w:val="891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АКТ</w:t>
      </w:r>
      <w:r/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и выдачи товаров (работ, услуг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нужд недееспособного получателя социальных услуг</w:t>
      </w:r>
      <w:r/>
    </w:p>
    <w:p>
      <w:pPr>
        <w:pStyle w:val="891"/>
        <w:outlineLvl w:val="0"/>
      </w:pPr>
      <w:r/>
      <w:r/>
    </w:p>
    <w:p>
      <w:pPr>
        <w:pStyle w:val="891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Комиссия, утвержденная приказом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 организации от _______</w:t>
      </w:r>
      <w:r>
        <w:rPr>
          <w:rFonts w:ascii="Times New Roman" w:hAnsi="Times New Roman" w:cs="Times New Roman"/>
          <w:sz w:val="28"/>
          <w:szCs w:val="28"/>
        </w:rPr>
        <w:t xml:space="preserve">___ № ______</w:t>
      </w:r>
      <w:r/>
    </w:p>
    <w:p>
      <w:pPr>
        <w:pStyle w:val="891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_________________________________________,</w:t>
      </w:r>
      <w:r/>
    </w:p>
    <w:p>
      <w:pPr>
        <w:pStyle w:val="891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(</w:t>
      </w:r>
      <w:r>
        <w:rPr>
          <w:rFonts w:ascii="Times New Roman" w:hAnsi="Times New Roman" w:cs="Times New Roman"/>
        </w:rPr>
        <w:t xml:space="preserve">фамилия</w:t>
      </w:r>
      <w:r>
        <w:rPr>
          <w:rFonts w:ascii="Times New Roman" w:hAnsi="Times New Roman" w:cs="Times New Roman"/>
        </w:rPr>
        <w:t xml:space="preserve">, имя, отчество (последнее - при наличии) ответственного лица)</w:t>
      </w:r>
      <w:r/>
    </w:p>
    <w:p>
      <w:pPr>
        <w:pStyle w:val="891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  том</w:t>
      </w:r>
      <w:r>
        <w:rPr>
          <w:rFonts w:ascii="Times New Roman" w:hAnsi="Times New Roman" w:cs="Times New Roman"/>
          <w:sz w:val="28"/>
          <w:szCs w:val="28"/>
        </w:rPr>
        <w:t xml:space="preserve">, что,  для  личных  нужд  недееспособного получателя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услуг 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pStyle w:val="891"/>
        <w:jc w:val="both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фамилия</w:t>
      </w:r>
      <w:r>
        <w:rPr>
          <w:rFonts w:ascii="Times New Roman" w:hAnsi="Times New Roman" w:cs="Times New Roman"/>
        </w:rPr>
        <w:t xml:space="preserve">, имя, отчество (последнее -  при наличии)</w:t>
      </w:r>
      <w:r/>
    </w:p>
    <w:p>
      <w:pPr>
        <w:pStyle w:val="891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приобретены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товары (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 xml:space="preserve">оказаны </w:t>
      </w:r>
      <w:r>
        <w:rPr>
          <w:rFonts w:ascii="Times New Roman" w:hAnsi="Times New Roman" w:cs="Times New Roman"/>
          <w:sz w:val="28"/>
          <w:szCs w:val="28"/>
        </w:rPr>
        <w:t xml:space="preserve">услуги):</w:t>
      </w:r>
      <w:r/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4"/>
        <w:gridCol w:w="1280"/>
        <w:gridCol w:w="988"/>
        <w:gridCol w:w="567"/>
        <w:gridCol w:w="629"/>
        <w:gridCol w:w="629"/>
        <w:gridCol w:w="487"/>
        <w:gridCol w:w="629"/>
        <w:gridCol w:w="737"/>
        <w:gridCol w:w="1054"/>
        <w:gridCol w:w="1276"/>
        <w:gridCol w:w="7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N п/п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Фамилия, имя, отчество (последнее - при наличии) недееспособного получателя социальных услуг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Наименование товара (работы, услуги)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Ед. изм.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Размер, вид, сорт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Мера веса, объема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Кол-во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Цена за ед., рублей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Цена всего, рублей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Реквизиты документов, подтверждающих приобретение товаров (работ, услуг) и их оплату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Реквизиты технических (гарантийных) документов (при наличии соответствующих документов)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 xml:space="preserve">Дата приобретения</w:t>
            </w:r>
            <w:r>
              <w:rPr>
                <w:rFonts w:eastAsia="Times New Roman"/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 w:val="16"/>
              </w:rPr>
            </w:pPr>
            <w:r>
              <w:rPr>
                <w:rFonts w:eastAsia="Times New Roman"/>
                <w:sz w:val="16"/>
              </w:rPr>
              <w:t xml:space="preserve">Ито</w:t>
            </w:r>
            <w:bookmarkStart w:id="0" w:name="_GoBack"/>
            <w:r/>
            <w:bookmarkEnd w:id="0"/>
            <w:r>
              <w:rPr>
                <w:rFonts w:eastAsia="Times New Roman"/>
                <w:sz w:val="16"/>
              </w:rPr>
              <w:t xml:space="preserve">го: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Товары переданы</w:t>
      </w:r>
      <w:r>
        <w:rPr>
          <w:rFonts w:ascii="Times New Roman" w:hAnsi="Times New Roman" w:cs="Times New Roman"/>
          <w:sz w:val="28"/>
          <w:szCs w:val="28"/>
        </w:rPr>
        <w:t xml:space="preserve"> «____» 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Работы выполнены </w:t>
      </w:r>
      <w:r>
        <w:rPr>
          <w:rFonts w:ascii="Times New Roman" w:hAnsi="Times New Roman" w:cs="Times New Roman"/>
          <w:sz w:val="28"/>
          <w:szCs w:val="28"/>
        </w:rPr>
        <w:t xml:space="preserve">«____» 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Услуги оказаны</w:t>
      </w:r>
      <w:r>
        <w:rPr>
          <w:rFonts w:ascii="Times New Roman" w:hAnsi="Times New Roman" w:cs="Times New Roman"/>
          <w:sz w:val="28"/>
          <w:szCs w:val="28"/>
        </w:rPr>
        <w:t xml:space="preserve"> «____» 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outlineLvl w:val="0"/>
      </w:pPr>
      <w:r/>
      <w:r/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(</w:t>
      </w:r>
      <w:r>
        <w:rPr>
          <w:rFonts w:ascii="Times New Roman" w:hAnsi="Times New Roman" w:cs="Times New Roman"/>
        </w:rPr>
        <w:t xml:space="preserve">подпись</w:t>
      </w:r>
      <w:r>
        <w:rPr>
          <w:rFonts w:ascii="Times New Roman" w:hAnsi="Times New Roman" w:cs="Times New Roman"/>
        </w:rPr>
        <w:t xml:space="preserve">, фамилия, имя, отчество (последнее - при наличии)</w:t>
      </w:r>
      <w:r>
        <w:t xml:space="preserve"> </w:t>
      </w:r>
      <w:r>
        <w:rPr>
          <w:rFonts w:ascii="Times New Roman" w:hAnsi="Times New Roman" w:cs="Times New Roman"/>
        </w:rPr>
        <w:t xml:space="preserve"> ответственного лица)</w:t>
      </w:r>
      <w:r/>
    </w:p>
    <w:p>
      <w:pPr>
        <w:pStyle w:val="891"/>
        <w:outlineLvl w:val="0"/>
      </w:pPr>
      <w:r/>
      <w:r/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                         (расшифровка подписи)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_______________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                          (расшифровка подписи)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______________    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                          (расшифровка подписи)</w:t>
      </w:r>
      <w:r/>
    </w:p>
    <w:p>
      <w:pPr>
        <w:pStyle w:val="891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    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/>
    </w:p>
    <w:p>
      <w:pPr>
        <w:pStyle w:val="891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                           (расшифровка подписи)</w:t>
      </w:r>
      <w:r>
        <w:rPr>
          <w:rFonts w:ascii="Times New Roman" w:hAnsi="Times New Roman" w:cs="Times New Roman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*заполняется в</w:t>
      </w:r>
      <w:r>
        <w:rPr>
          <w:rFonts w:ascii="Times New Roman" w:hAnsi="Times New Roman" w:cs="Times New Roman"/>
        </w:rPr>
        <w:t xml:space="preserve"> случае нахождения недееспособного получателя социальных услуг на лечении в медицинской организации или иной организации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нахождени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недееспособного получателя социальных услуг на лечении в медицинской организации или иной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</w:t>
      </w:r>
      <w:r>
        <w:rPr>
          <w:rFonts w:ascii="Times New Roman" w:hAnsi="Times New Roman" w:cs="Times New Roman"/>
        </w:rPr>
        <w:t xml:space="preserve">наименование</w:t>
      </w:r>
      <w:r>
        <w:rPr>
          <w:rFonts w:ascii="Times New Roman" w:hAnsi="Times New Roman" w:cs="Times New Roman"/>
        </w:rPr>
        <w:t xml:space="preserve"> медицинской организации или иной организации)</w:t>
      </w:r>
      <w:r>
        <w:rPr>
          <w:rFonts w:ascii="Times New Roman" w:hAnsi="Times New Roman" w:cs="Times New Roman"/>
        </w:rPr>
      </w:r>
    </w:p>
    <w:p>
      <w:pPr>
        <w:pStyle w:val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переданы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приобретенные для него товары (работы, услуги)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976"/>
      </w:tblGrid>
      <w:tr>
        <w:tblPrEx/>
        <w:trPr/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фамилия</w:t>
            </w:r>
            <w:r>
              <w:rPr>
                <w:rFonts w:ascii="Times New Roman" w:hAnsi="Times New Roman" w:cs="Times New Roman"/>
              </w:rPr>
              <w:t xml:space="preserve">, имя, отчество (последнее - при наличии)</w:t>
            </w:r>
            <w:r>
              <w:rPr>
                <w:rFonts w:ascii="Times New Roman" w:hAnsi="Times New Roman" w:cs="Times New Roman"/>
              </w:rPr>
              <w:t xml:space="preserve">, должность ответственного лица</w:t>
            </w:r>
            <w:r>
              <w:rPr>
                <w:rFonts w:ascii="Times New Roman" w:hAnsi="Times New Roman" w:cs="Times New Roman"/>
              </w:rPr>
              <w:t xml:space="preserve"> подведомственной министерству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lang w:eastAsia="zh-CN"/>
              </w:rPr>
              <w:outlineLvl w:val="0"/>
            </w:pP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фамилия</w:t>
            </w:r>
            <w:r>
              <w:rPr>
                <w:rFonts w:ascii="Times New Roman" w:hAnsi="Times New Roman" w:cs="Times New Roman"/>
              </w:rPr>
              <w:t xml:space="preserve">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(последнее - при наличии)</w:t>
            </w:r>
            <w:r>
              <w:rPr>
                <w:rFonts w:ascii="Times New Roman" w:hAnsi="Times New Roman" w:cs="Times New Roman"/>
              </w:rPr>
              <w:t xml:space="preserve">, должность </w:t>
            </w:r>
            <w:r>
              <w:rPr>
                <w:rFonts w:ascii="Times New Roman" w:hAnsi="Times New Roman" w:cs="Times New Roman"/>
                <w:lang w:eastAsia="zh-CN"/>
              </w:rPr>
              <w:t xml:space="preserve">специалиста медицинской организации или иной организации)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20___ г.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                                                        (</w:t>
            </w:r>
            <w:r>
              <w:rPr>
                <w:rFonts w:ascii="Times New Roman" w:hAnsi="Times New Roman" w:cs="Times New Roman"/>
                <w:lang w:eastAsia="zh-CN"/>
              </w:rPr>
              <w:t xml:space="preserve">подпись</w:t>
            </w:r>
            <w:r>
              <w:rPr>
                <w:rFonts w:ascii="Times New Roman" w:hAnsi="Times New Roman" w:cs="Times New Roman"/>
                <w:lang w:eastAsia="zh-CN"/>
              </w:rPr>
              <w:t xml:space="preserve">)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auto"/>
            <w:tcW w:w="4890" w:type="dxa"/>
            <w:textDirection w:val="lrTb"/>
            <w:noWrap w:val="false"/>
          </w:tcPr>
          <w:p>
            <w:pPr>
              <w:pStyle w:val="891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20___ г.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lang w:eastAsia="zh-CN"/>
              </w:rPr>
              <w:t xml:space="preserve">подпись</w:t>
            </w:r>
            <w:r>
              <w:rPr>
                <w:rFonts w:ascii="Times New Roman" w:hAnsi="Times New Roman" w:cs="Times New Roman"/>
                <w:lang w:eastAsia="zh-CN"/>
              </w:rPr>
              <w:t xml:space="preserve">)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</w:tbl>
    <w:p>
      <w:pPr>
        <w:pStyle w:val="89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outlineLvl w:val="0"/>
      </w:pPr>
      <w:r/>
      <w:r/>
    </w:p>
    <w:sectPr>
      <w:headerReference w:type="default" r:id="rId9"/>
      <w:headerReference w:type="first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896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tabs>
        <w:tab w:val="center" w:pos="7938" w:leader="none"/>
        <w:tab w:val="right" w:pos="15168" w:leader="none"/>
      </w:tabs>
      <w:rPr>
        <w:color w:val="ffffff"/>
      </w:rPr>
    </w:pPr>
    <w:r>
      <w:rPr>
        <w:color w:val="ffffff"/>
        <w:sz w:val="20"/>
      </w:rPr>
      <w:t xml:space="preserve">1</w:t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694">
    <w:name w:val="Heading 1"/>
    <w:basedOn w:val="693"/>
    <w:link w:val="888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0000"/>
      <w:sz w:val="48"/>
      <w:szCs w:val="48"/>
      <w:lang w:eastAsia="ru-RU"/>
    </w:rPr>
  </w:style>
  <w:style w:type="paragraph" w:styleId="695">
    <w:name w:val="Heading 2"/>
    <w:basedOn w:val="693"/>
    <w:next w:val="693"/>
    <w:link w:val="894"/>
    <w:uiPriority w:val="9"/>
    <w:qFormat/>
    <w:pPr>
      <w:jc w:val="both"/>
      <w:keepNext/>
      <w:spacing w:after="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696">
    <w:name w:val="Heading 3"/>
    <w:basedOn w:val="693"/>
    <w:next w:val="693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uiPriority w:val="10"/>
    <w:rPr>
      <w:sz w:val="48"/>
      <w:szCs w:val="48"/>
    </w:rPr>
  </w:style>
  <w:style w:type="character" w:styleId="714" w:customStyle="1">
    <w:name w:val="Subtitle Char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3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rPr>
      <w:rFonts w:ascii="Calibri" w:hAnsi="Calibri" w:eastAsia="Times New Roman"/>
      <w:sz w:val="22"/>
      <w:szCs w:val="22"/>
    </w:rPr>
  </w:style>
  <w:style w:type="paragraph" w:styleId="730">
    <w:name w:val="Title"/>
    <w:basedOn w:val="693"/>
    <w:next w:val="693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693"/>
    <w:next w:val="693"/>
    <w:link w:val="733"/>
    <w:uiPriority w:val="11"/>
    <w:qFormat/>
    <w:pPr>
      <w:spacing w:before="200"/>
    </w:p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3"/>
    <w:next w:val="693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3"/>
    <w:next w:val="693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3"/>
    <w:link w:val="89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eastAsia="ru-RU"/>
    </w:rPr>
  </w:style>
  <w:style w:type="character" w:styleId="739" w:customStyle="1">
    <w:name w:val="Header Char"/>
    <w:uiPriority w:val="99"/>
  </w:style>
  <w:style w:type="paragraph" w:styleId="740">
    <w:name w:val="Footer"/>
    <w:basedOn w:val="693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3"/>
    <w:next w:val="693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5"/>
    <w:link w:val="90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0">
    <w:name w:val="Hyperlink"/>
    <w:uiPriority w:val="99"/>
    <w:unhideWhenUsed/>
    <w:rPr>
      <w:color w:val="0000ff"/>
      <w:u w:val="single"/>
    </w:rPr>
  </w:style>
  <w:style w:type="paragraph" w:styleId="871">
    <w:name w:val="footnote text"/>
    <w:basedOn w:val="693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3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3"/>
    <w:next w:val="693"/>
    <w:uiPriority w:val="39"/>
    <w:unhideWhenUsed/>
    <w:pPr>
      <w:spacing w:after="57"/>
    </w:pPr>
  </w:style>
  <w:style w:type="paragraph" w:styleId="878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9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80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81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2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3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4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5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rPr>
      <w:lang w:eastAsia="zh-CN"/>
    </w:rPr>
  </w:style>
  <w:style w:type="paragraph" w:styleId="887">
    <w:name w:val="table of figures"/>
    <w:basedOn w:val="693"/>
    <w:next w:val="693"/>
    <w:uiPriority w:val="99"/>
    <w:unhideWhenUsed/>
    <w:pPr>
      <w:spacing w:after="0"/>
    </w:pPr>
  </w:style>
  <w:style w:type="character" w:styleId="888" w:customStyle="1">
    <w:name w:val="Заголовок 1 Знак"/>
    <w:link w:val="694"/>
    <w:uiPriority w:val="9"/>
    <w:rPr>
      <w:rFonts w:eastAsia="Times New Roman"/>
      <w:b/>
      <w:bCs/>
      <w:color w:val="000000"/>
      <w:sz w:val="48"/>
      <w:szCs w:val="48"/>
      <w:lang w:eastAsia="ru-RU"/>
    </w:rPr>
  </w:style>
  <w:style w:type="paragraph" w:styleId="889">
    <w:name w:val="Balloon Text"/>
    <w:basedOn w:val="693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 w:customStyle="1">
    <w:name w:val="ConsPlusNormal"/>
    <w:rPr>
      <w:rFonts w:ascii="Arial" w:hAnsi="Arial" w:cs="Arial"/>
      <w:lang w:eastAsia="en-US"/>
    </w:rPr>
  </w:style>
  <w:style w:type="character" w:styleId="892" w:customStyle="1">
    <w:name w:val="Верхний колонтитул Знак"/>
    <w:link w:val="738"/>
    <w:uiPriority w:val="99"/>
    <w:rPr>
      <w:rFonts w:eastAsia="Times New Roman"/>
      <w:sz w:val="28"/>
    </w:rPr>
  </w:style>
  <w:style w:type="character" w:styleId="893">
    <w:name w:val="Emphasis"/>
    <w:qFormat/>
    <w:rPr>
      <w:i/>
      <w:iCs/>
    </w:rPr>
  </w:style>
  <w:style w:type="character" w:styleId="894" w:customStyle="1">
    <w:name w:val="Заголовок 2 Знак"/>
    <w:link w:val="695"/>
    <w:uiPriority w:val="9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895">
    <w:name w:val="Body Text 2"/>
    <w:basedOn w:val="693"/>
    <w:link w:val="89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896" w:customStyle="1">
    <w:name w:val="Основной текст 2 Знак"/>
    <w:link w:val="895"/>
    <w:rPr>
      <w:rFonts w:eastAsia="Times New Roman"/>
      <w:sz w:val="28"/>
    </w:rPr>
  </w:style>
  <w:style w:type="paragraph" w:styleId="897">
    <w:name w:val="Body Text Indent"/>
    <w:basedOn w:val="693"/>
    <w:link w:val="898"/>
    <w:uiPriority w:val="99"/>
    <w:unhideWhenUsed/>
    <w:pPr>
      <w:ind w:left="283"/>
      <w:spacing w:after="120"/>
    </w:pPr>
    <w:rPr>
      <w:rFonts w:ascii="Calibri" w:hAnsi="Calibri" w:eastAsia="Times New Roman"/>
      <w:sz w:val="22"/>
      <w:szCs w:val="22"/>
      <w:lang w:eastAsia="ru-RU"/>
    </w:rPr>
  </w:style>
  <w:style w:type="character" w:styleId="898" w:customStyle="1">
    <w:name w:val="Основной текст с отступом Знак"/>
    <w:link w:val="897"/>
    <w:uiPriority w:val="99"/>
    <w:rPr>
      <w:rFonts w:ascii="Calibri" w:hAnsi="Calibri" w:eastAsia="Times New Roman"/>
      <w:sz w:val="22"/>
      <w:szCs w:val="22"/>
    </w:rPr>
  </w:style>
  <w:style w:type="character" w:styleId="899" w:customStyle="1">
    <w:name w:val="Нижний колонтитул Знак"/>
    <w:link w:val="740"/>
    <w:uiPriority w:val="99"/>
    <w:rPr>
      <w:sz w:val="24"/>
      <w:szCs w:val="24"/>
      <w:lang w:eastAsia="en-US"/>
    </w:rPr>
  </w:style>
  <w:style w:type="paragraph" w:styleId="90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01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  <w:style w:type="paragraph" w:styleId="902" w:customStyle="1">
    <w:name w:val="Основной текст с отступом1"/>
    <w:link w:val="833"/>
    <w:uiPriority w:val="99"/>
    <w:unhideWhenUsed/>
    <w:pPr>
      <w:ind w:left="283"/>
      <w:spacing w:after="12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revision>22</cp:revision>
  <dcterms:created xsi:type="dcterms:W3CDTF">2025-08-13T08:23:00Z</dcterms:created>
  <dcterms:modified xsi:type="dcterms:W3CDTF">2025-08-19T07:57:01Z</dcterms:modified>
  <cp:version>983040</cp:version>
</cp:coreProperties>
</file>