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spacing w:before="0" w:after="0" w:line="240" w:lineRule="auto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ascii="Times New Roman" w:hAnsi="Times New Roman" w:eastAsia="Calibri" w:cs="Times New Roman"/>
          <w:b/>
          <w:sz w:val="27"/>
          <w:szCs w:val="27"/>
        </w:rPr>
        <w:t xml:space="preserve">ИНФОРМАЦИЯ</w:t>
      </w:r>
      <w:r>
        <w:rPr>
          <w:rFonts w:ascii="Times New Roman" w:hAnsi="Times New Roman" w:eastAsia="Calibri" w:cs="Times New Roman"/>
          <w:b/>
          <w:sz w:val="27"/>
          <w:szCs w:val="27"/>
        </w:rPr>
      </w:r>
    </w:p>
    <w:p>
      <w:pPr>
        <w:pStyle w:val="817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деятельности в области противодействия коррупции 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7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министерстве труда и социального развития Новосибирской области в 2024 году</w:t>
      </w:r>
      <w:r>
        <w:rPr>
          <w:rStyle w:val="821"/>
          <w:rFonts w:ascii="Times New Roman" w:hAnsi="Times New Roman" w:eastAsia="Times New Roman" w:cs="Times New Roman"/>
          <w:sz w:val="28"/>
          <w:szCs w:val="28"/>
        </w:rPr>
        <w:footnoteReference w:id="2"/>
      </w:r>
      <w:r/>
    </w:p>
    <w:tbl>
      <w:tblPr>
        <w:tblW w:w="15593" w:type="dxa"/>
        <w:tblInd w:w="245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4"/>
        <w:gridCol w:w="6944"/>
        <w:gridCol w:w="257"/>
        <w:gridCol w:w="7538"/>
      </w:tblGrid>
      <w:tr>
        <w:tblPrEx/>
        <w:trPr>
          <w:trHeight w:val="32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center"/>
              <w:spacing w:before="0" w:after="0" w:line="240" w:lineRule="auto"/>
              <w:rPr>
                <w:rFonts w:ascii="Times New Roman" w:hAnsi="Times New Roman" w:eastAsia="Calibri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b/>
                <w:sz w:val="27"/>
                <w:szCs w:val="27"/>
              </w:rPr>
              <w:t xml:space="preserve">Мероприятие </w:t>
            </w:r>
            <w:r>
              <w:rPr>
                <w:rFonts w:ascii="Times New Roman" w:hAnsi="Times New Roman" w:eastAsia="Calibri" w:cs="Times New Roman"/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center"/>
              <w:spacing w:before="0" w:after="0" w:line="240" w:lineRule="auto"/>
              <w:rPr>
                <w:rFonts w:ascii="Times New Roman" w:hAnsi="Times New Roman" w:eastAsia="Calibri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b/>
                <w:sz w:val="27"/>
                <w:szCs w:val="27"/>
              </w:rPr>
              <w:t xml:space="preserve">Исполнение мероприятия </w:t>
            </w:r>
            <w:r>
              <w:rPr>
                <w:rFonts w:ascii="Times New Roman" w:hAnsi="Times New Roman" w:eastAsia="Calibri" w:cs="Times New Roman"/>
                <w:b/>
                <w:sz w:val="27"/>
                <w:szCs w:val="27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исполнении в 2024 году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мероприятий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программы «Антикоррупционное просвещение в Новосибирской области на 2022 - 2024 годы»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утвержденной постановлением Правительства Новосибирской области от 15.02.2022 г. № 43-п</w:t>
            </w:r>
            <w:r>
              <w:rPr>
                <w:rStyle w:val="821"/>
                <w:rFonts w:ascii="Times New Roman" w:hAnsi="Times New Roman" w:cs="Times New Roman"/>
                <w:sz w:val="27"/>
                <w:szCs w:val="27"/>
              </w:rPr>
              <w:footnoteReference w:id="3"/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/>
          </w:p>
        </w:tc>
      </w:tr>
      <w:tr>
        <w:tblPrEx/>
        <w:trPr>
          <w:trHeight w:val="1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населения о положениях законодательства о противодействии коррупции, в том числе об ответственности за совершение коррупционных правонарушений, о мерах, принимаемых в сфере противодействия коррупции, путем: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 размещения и актуализации соответствующей информации на официальном сайте Губернатора Новосибирской области и Правительства Новосибирской области, официальных сайтах ОИОГВ НСО в информационно-телекоммуникационной сети «Интернет»;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2) использования средств наглядной информации 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стендов, плакатов, брошюр, памяток, трансляции видеоматериалов) в помещениях, занимаемых ОИОГВ, в том числе служебных помещениях руководителей ОИОГВ НСО, их заместителей, сотрудников ОИОГВ НСО, участвующих в оказании государственных услуг, в приеме граждан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 </w:t>
            </w:r>
            <w:r>
              <w:rPr>
                <w:rFonts w:ascii="Times New Roman" w:hAnsi="Times New Roman" w:eastAsia="Calibri" w:cs="Times New Roman"/>
                <w:color w:val="auto"/>
                <w:sz w:val="27"/>
                <w:szCs w:val="27"/>
                <w:lang w:val="ru-RU" w:eastAsia="en-US" w:bidi="ar-SA"/>
              </w:rPr>
              <w:t xml:space="preserve"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 сайте министерства труда и социального развития Новосибирской области (далее – министерство)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создан раздел «Противодействие коррупции», в котором содержатся нормативные правовые акты в сфере противодействия коррупции; методические материалы, разъяснения практики применения Федерального закона от 25.12.2008 № 273-ФЗ «О противодействии коррупции»;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информация о проведенных заседаниях комиссии по соблюдению требований к служебному поведению государственных гражданских служащих и урегулированию конфликта интересов министерства.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разделе содержатся акт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уальные ссылки на официальные сайты правоохранительных органов, осуществляющих деятельность на территории Новосибирской области, на которых размещена информация о способах обращения к ним в целях сообщения о фактах коррупции (http://mtsr.nso.ru/page/1291);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 </w:t>
            </w:r>
            <w:r>
              <w:rPr>
                <w:rFonts w:ascii="Times New Roman" w:hAnsi="Times New Roman" w:eastAsia="Calibri" w:cs="Times New Roman"/>
                <w:color w:val="auto"/>
                <w:sz w:val="27"/>
                <w:szCs w:val="27"/>
                <w:lang w:val="ru-RU" w:eastAsia="en-US" w:bidi="ar-SA"/>
              </w:rPr>
              <w:t xml:space="preserve"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министерстве использую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тся средства наглядной агитации в виде стендов, на которых размещены информационные материалы с положениями законодательства о противодействии коррупции и ответственности за совершение коррупционных правонарушений. Стенды размещены в общественной приемной.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 втором квартале 2024 года министерством разработан буклет, содержащий информационные материалы, направленные на повышение уровня правовой грамотности населения и нетерпимого отношения к проявлениям коррупции,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 том числе об ответственности за совершение коррупционных правонарушений,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осуществлено его изготовление и выпуск (тираж 10 000 экземпляров).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Буклеты для распространения размещены в общественной приемной министерства, а также направлены в 96 государственных учреждений, подведомственных министерству. </w:t>
            </w:r>
            <w:r/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информирова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ния государственными учреждениями (организациями) населения о положениях законодательства о противодействии коррупции, в том числе об ответственности за совершение коррупционных правонарушений, о мерах, принимаемых в сфере противодействия коррупции, путем: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размещения и актуализации соответствующей информации на официальных сайтах государственных учреждений (организаций) в информационно-телекоммуникационной сети «Интернет»;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2) использования средств наглядн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ой информации (стендов, плакатов, брошюр, памяток, транслирование видеоматериалов) в помещениях, занимаемых государственными учреждениями (организациями), в том числе служебных помещениях руководителей и сотрудников государственных учреждений (организаций)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 </w:t>
            </w:r>
            <w:r>
              <w:rPr>
                <w:rFonts w:ascii="Times New Roman" w:hAnsi="Times New Roman" w:eastAsia="Calibri" w:cs="Times New Roman"/>
                <w:color w:val="auto"/>
                <w:sz w:val="27"/>
                <w:szCs w:val="27"/>
                <w:lang w:val="ru-RU" w:eastAsia="en-US" w:bidi="ar-SA"/>
              </w:rPr>
              <w:t xml:space="preserve"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 сайтах подведомственных министерству учреждений размещены: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 Стандарты и процедуры, направленные на обеспечение добросовестной работы;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Антикоррупционная политика;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План противодействия коррупции в учреждении;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Кодексы этики и поведения работников (в зависимости от видов учреждений);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Карты коррупционных рисков;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Положение о конфликте интересов;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Положение об информировании работниками работод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ателя о случаях склонения их к совершению коррупционных правонарушений и об информировании работниками работодателя о ставшей известной работнику информации о случаях совершения коррупционных правонарушений другими работниками, контрагентами, иными лицами;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 Положение о сообщ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ении работниками учреждения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положения о недопущении составления неофициальной отчетности и использования поддельных документов;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 основные положения законодательства о противодействии коррупции, в том числе об ответственности за совершение коррупционных правонарушений;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приказы «О назначении лиц, ответственных за проведение работы по противодействию коррупции»;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 </w:t>
            </w:r>
            <w:r>
              <w:rPr>
                <w:rFonts w:ascii="Times New Roman" w:hAnsi="Times New Roman" w:eastAsia="Calibri" w:cs="Times New Roman"/>
                <w:color w:val="auto"/>
                <w:sz w:val="27"/>
                <w:szCs w:val="27"/>
                <w:lang w:val="ru-RU" w:eastAsia="en-US" w:bidi="ar-SA"/>
              </w:rPr>
              <w:t xml:space="preserve"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местах приема получателей государственных и социальных услуг размещены стенды антикоррупционной тематики.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сайтах подведомственных министе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рству учреждений содержатся актуальные ссылки на официальные сайты правоохранительных органов, осуществляющих деятельность на территории Новосибирской области, на которых размещена информация о способах обращения к ним в целях сообщения о фактах коррупции.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Также учреждениями для информирования используются </w:t>
            </w:r>
            <w:r>
              <w:rPr>
                <w:rFonts w:ascii="Times New Roman" w:hAnsi="Times New Roman" w:eastAsia="Arial" w:cs="Times New Roman"/>
                <w:color w:val="000000"/>
                <w:sz w:val="27"/>
                <w:szCs w:val="27"/>
                <w:lang w:val="ru-RU" w:eastAsia="ru-RU" w:bidi="ar-SA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азработанные министерством буклеты, содержащие информационные материалы, направленные на повышение уровня правовой грамотности населения и нетерпимого отношения к проявлениям коррупции. </w:t>
            </w:r>
            <w:r/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1.3</w:t>
            </w:r>
            <w:r/>
          </w:p>
        </w:tc>
        <w:tc>
          <w:tcPr>
            <w:gridSpan w:val="2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и распространение методических, информационных и разъяснительных материалов об антикоррупционных стандартах поведения для граждан, претендующих на замещение должно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стей государственной гражданской службы Новосибирской области, лиц, замещающих государственные должности Новосибирской области, должности государственной гражданской службы Новосибирской области, а также работников государственных учреждений (организаций):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 актуализация действующих и разработка новых методических и информационно-разъяснительных материалов;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 тиражирование методических, информационных и разъяснительных материалов, подготовленных в ОИОГВ НСО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В целях соблюдения требований законодательства о противодействии ко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ррупции в министерстве организована работа по ознакомлению граждан при приеме на государственную гражданскую службу (далее – гражданская служба) с нормативными правовыми актами, памятками, методическими рекомендациями по вопросам противодействия коррупции.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При увольнен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ии с гражданской службы, в соответствии с приказом министерства от 27.07.2020 № 667 «О мерах по реализации отдельных положений Федерального закона «О противодействии коррупции», кадровым подразделением министерства обеспечивается доведение до сведения граж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данских служащих, замещающих должности, включенные в перечень должностей гражданской службы министерства, при замещении которых гражданские служащие обязаны представлять сведения о доходах, об имуществе и обязательствах имущественного характера, условий, в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лекущих распространение на гражданина обязанности получения согласия комиссии по соблюдению требований к служебному поведению и урегулированию конфликта интересов министерства, и порядка направления гражданином обращения о даче согласия на трудоустройство.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212121"/>
                <w:spacing w:val="0"/>
                <w:sz w:val="27"/>
                <w:szCs w:val="27"/>
              </w:rPr>
              <w:t xml:space="preserve">1) разработаны:</w:t>
            </w:r>
            <w:r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212121"/>
                <w:spacing w:val="0"/>
                <w:sz w:val="27"/>
                <w:szCs w:val="27"/>
              </w:rPr>
              <w:t xml:space="preserve">- памятка для граждан, впервые поступающих на государственную гражданскую службу, «Путь новичка», содержащая раздел «Противодействие коррупции»,</w:t>
            </w:r>
            <w:r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</w:rPr>
              <w:t xml:space="preserve">- буклеты,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содержащи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 информационные материалы, направленные на повышение уровня правовой грамотности населения;</w:t>
            </w:r>
            <w:r>
              <w:rPr>
                <w:rFonts w:ascii="Times New Roman;serif;serif;EmojiFont" w:hAnsi="Times New Roman;serif;serif;EmojiFont"/>
                <w:b w:val="0"/>
                <w:i w:val="0"/>
                <w:caps w:val="0"/>
                <w:smallCaps w:val="0"/>
                <w:color w:val="212121"/>
                <w:spacing w:val="0"/>
                <w:sz w:val="26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 тиражирование: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212121"/>
                <w:spacing w:val="0"/>
                <w:sz w:val="27"/>
                <w:szCs w:val="27"/>
              </w:rPr>
              <w:t xml:space="preserve">- памят</w:t>
            </w:r>
            <w:r>
              <w:rPr>
                <w:rFonts w:ascii="Times New Roman" w:hAnsi="Times New Roman" w:eastAsia="Calibri" w:cs="Times New Roman"/>
                <w:b w:val="0"/>
                <w:i w:val="0"/>
                <w:caps w:val="0"/>
                <w:smallCaps w:val="0"/>
                <w:color w:val="212121"/>
                <w:spacing w:val="0"/>
                <w:sz w:val="27"/>
                <w:szCs w:val="27"/>
                <w:lang w:val="ru-RU" w:eastAsia="en-US" w:bidi="ar-SA"/>
              </w:rPr>
              <w:t xml:space="preserve">ок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212121"/>
                <w:spacing w:val="0"/>
                <w:sz w:val="27"/>
                <w:szCs w:val="27"/>
              </w:rPr>
              <w:t xml:space="preserve"> для граждан, впервые поступающих на государственную гражданскую службу, «Путь новичка», содержащая раздел «Противодействие коррупции» (50 экземпляров),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</w:rPr>
              <w:t xml:space="preserve">буклет</w:t>
            </w:r>
            <w:r>
              <w:rPr>
                <w:rFonts w:ascii="Times New Roman" w:hAnsi="Times New Roman" w:eastAsia="Calibri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val="ru-RU" w:eastAsia="en-US" w:bidi="ar-SA"/>
              </w:rPr>
              <w:t xml:space="preserve">ов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содержащи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val="ru-RU" w:eastAsia="ru-RU" w:bidi="ar-SA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 информационные материалы, направленные на повышение уровня правовой грамотности населения ( 10 000 экземпляров).</w:t>
            </w:r>
            <w:r/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Организация и проведение мероприятий по вопросам противодействия коррупции (совещаний, семинаров-практикумов, тренингов и в других формах), в том числе посредством видео-конференц-связи:</w:t>
            </w: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 xml:space="preserve"> 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с лицами, замещающими должности государственной гражданской службы Новосибирской области в ОИОГВ НСО, участвующими в реализации контрольно-надзорных функций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ind w:left="33" w:firstLine="0"/>
              <w:jc w:val="both"/>
              <w:spacing w:before="0"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highlight w:val="white"/>
                <w:lang w:val="ru-RU" w:eastAsia="ru-RU" w:bidi="ar-S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  <w:lang w:eastAsia="ru-RU"/>
              </w:rPr>
              <w:t xml:space="preserve"> министерстве проводятся совещания, на которых рассматриваются вопросы противодействия коррупции.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1.5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20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Анализ результатов проведенных мероприятий по антикоррупционному просвещению, проводимых в ОИОГВ НСО, администрации Губернатора Новосибирской области и Правительства Новосибирской области, в целях выработки предложений по повышению их эффективности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ind w:left="33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постоянной основе осуществляется анализ результатов мероприятий по антикоррупционному просвещению, результаты анализа учитываются при планировании и проведении последующих мероприятий.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исполнении в 2024 году мероприятий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Плана совместных мероприятий Общественной палаты Новосибирской области, областных испол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нительных органов Новосибирской области, государственных органов Новосибирской области по повышению роли гражданского общества в противодействии коррупции на 2024-2026 годы, утвержденного распоряжением Губернатора Новосибирской области от 22.02.2024 № 35-р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(с указанием количества мероприятий, тематики, цели, количества участников, содержания мероприятий и итогов их проведения)</w:t>
            </w:r>
            <w:r>
              <w:rPr>
                <w:rStyle w:val="821"/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footnoteReference w:id="4"/>
            </w:r>
            <w:r/>
          </w:p>
        </w:tc>
      </w:tr>
      <w:tr>
        <w:tblPrEx/>
        <w:trPr>
          <w:trHeight w:val="27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Изготовление печатной продукции, направленной на повышение уровня правовой грамотности населения и формирование нетерпимого отношения к проявлениям коррупции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 втором квартале 2024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года министерством разработан буклет, содержащий информационные материалы, направленные на повышение уровня правовой грамотности населения и нетерпимого отношения к проявлениям коррупции, осуществлено его изготовление и выпуск.</w:t>
            </w:r>
            <w:r/>
          </w:p>
        </w:tc>
      </w:tr>
      <w:tr>
        <w:tblPrEx/>
        <w:trPr>
          <w:trHeight w:val="279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семинара-совещания с руководителями государственных учреждений, подведомственных министерству, в области противодействия коррупции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8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28.11.2024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специалистами министерства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val="ru-RU" w:eastAsia="ru-RU" w:bidi="ar-SA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сотрудник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val="ru-RU" w:eastAsia="ru-RU" w:bidi="ar-SA"/>
              </w:rPr>
              <w:t xml:space="preserve">ами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 отдела по профилактике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коррупционных и иных правонарушений администрации Губернатора Новосибирской области и Правительства Новосибирской области, с участием представителей прокуратуры Новосибирской области, Следственного управления Следственного комитета по Новосибирской области</w:t>
            </w:r>
            <w:r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 проведено совещание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lang w:eastAsia="ru-RU"/>
              </w:rPr>
              <w:t xml:space="preserve">с директорами государственных учреждений, подведомственных министерству, по вопросу организации в государственных учреждениях работы в сфере противодействия коррупции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212529"/>
                <w:spacing w:val="0"/>
                <w:sz w:val="27"/>
                <w:szCs w:val="27"/>
                <w:lang w:eastAsia="ru-RU"/>
              </w:rPr>
              <w:t xml:space="preserve">.</w:t>
            </w:r>
            <w:r/>
          </w:p>
        </w:tc>
      </w:tr>
      <w:tr>
        <w:tblPrEx/>
        <w:trPr>
          <w:trHeight w:val="351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</w:rPr>
              <w:t xml:space="preserve">Об иных мероприятиях, проведенных в 2024 году в целях антикоррупционного просвещения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(семинары, совещания, круглые столы, взаимодействие с правоохранительными органами) с указанием: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noBreakHyphen/>
              <w:t xml:space="preserve"> 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общего количества мероприятий;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noBreakHyphen/>
              <w:t xml:space="preserve"> 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по каждому мероприятию </w:t>
              <w:noBreakHyphen/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тематики, содержания, категорий и числа участников, адреса размещения информации о мероприятии на сайте в Интернете.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/>
          </w:p>
        </w:tc>
      </w:tr>
      <w:tr>
        <w:tblPrEx/>
        <w:trPr>
          <w:trHeight w:val="66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3.1 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u w:val="none"/>
                <w:lang w:val="ru-RU" w:eastAsia="ru-RU" w:bidi="ar-SA"/>
              </w:rPr>
              <w:t xml:space="preserve">На постоянной основе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u w:val="none"/>
                <w:lang w:eastAsia="ru-RU"/>
              </w:rPr>
              <w:t xml:space="preserve"> в министерстве проводятся селекторные, очные совещания с директорами подведомственных учре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ждений, на которых по мере необходимости рассматриваются вопросы противодействия коррупции.</w:t>
            </w:r>
            <w:r/>
          </w:p>
        </w:tc>
      </w:tr>
      <w:tr>
        <w:tblPrEx/>
        <w:trPr>
          <w:trHeight w:val="687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исполнении в 2024 году решений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комиссии по координации работы по противодействию коррупции в Новосибирской области</w:t>
            </w:r>
            <w:r>
              <w:rPr>
                <w:rStyle w:val="821"/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, в том числе: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 рассмотрении вопросов о реализации закон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одательства в сфере противодействия коррупции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18.1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 общественном совете, созданном при министерстве, рассмотрен вопрос о внесении изменений в карту коррупционных рисков министерства, 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которые в дальнейшем утверждены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приказом министерства от 23.12.2024 № 2763 «</w:t>
            </w:r>
            <w:r>
              <w:rPr>
                <w:rFonts w:ascii="Times New Roman" w:hAnsi="Times New Roman" w:eastAsia="Calibri" w:cs="Times New Roman"/>
                <w:sz w:val="27"/>
                <w:szCs w:val="27"/>
                <w:lang w:eastAsia="en-US"/>
              </w:rPr>
              <w:t xml:space="preserve">О внесении изменения в приказ министерства труда и социального развития Новосибирской области от 28.09.2020 № 813».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Рассмотрен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на общественном совете вопрос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об 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сполнении министерством программы «Противодействие коррупции в Новосибирской области на 2021-2024 годы», утвержденной постановлением Губернатора Новосибирской области от 27.09.2021 № 194, Плана мероприятий по противодействию коррупции в министерстве за 202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год, запланировано на 1 квартал 2025 года.</w:t>
            </w:r>
            <w:r/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обеспечении в рамках ведомственного контроля мер по предупреждению и противодействию ко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ррупции в государственных учреждениях (организациях)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инистерством продолжена работа по методическому сопровождению принятия мер по противодействию коррупции в подведомственных министерству учреждениях.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постоянной основе министерством осуществляется информирование подведомственных министерству учреждений об изменениях в законодательстве, методических рекомендациях федера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льных органов власти по вопросам противодействия коррупции; обеспечение проведения декларационной кампании; проведение еженедельных селекторных совещаний, на которых по мере необходимости рассматриваются вопросы противодействия коррупции; консультирование.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Ежегодно министерство проводит масштабные мероприятия по вопросам противодействия коррупции с участием сотрудников подведомственных министерству учреждений.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Так, 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.2024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специалистами министерства во взаимодействии с сотрудниками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отдела по профилактике коррупционных и иных правонарушений администрации Губернатора Новосибирской области и Правительства Новосибирской области, с участием представителей прокуратуры Новосибирской области, Следственного управления Следственного комитета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Новосибирской области проведено совещание с директорами государственных учреждений, подведомственных министерству, по вопросу организации в государственных учреждениях работы в сфере противодействия коррупции (в мероприятии приняли участие 94 человека).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Для подведомственных министерству учреждений в 202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году  подготовлен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и направлен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информационн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 письм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а о прохождении тестирования, о декларационной кампании 2024 года,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профилактики коррупции в учреждениях, о направлении методических материалов, рекомендаций. 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 целях 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беспечения деятельности по формированию, повышению правового сознания и правовой культуры, в том числе в целях противодействия коррупции и нигилизму 29.04.2019 между министерством и прокуратурой Новосибирской области заключено соглашение о взаимодействии 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сфере правового, в том числе антикоррупционного просвещения. В рамках реализации указанного соглашения в подведомственных министерству учреждениях с участием органов прокуратуры проводятся тематические мероприятия (семинары, круглые столы, лекции и т.п.).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Министерством осуществляется на постоянной основе ведомственный контроль за реализацией мер по прот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иводействию коррупции в подведомственных министерству учреждениях путем проведения проверок соблюдения федерального законодательства и законодательства Новосибирской области о противодействии коррупции.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обеспечении: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ежегодной оценки коррупционных рисков, возникающих при реализации функций органов, в том числе в ходе закупочной деятельности;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актуализации перечней должностей, при замещении которых государственные гражданские служащие обязаны представлять сведения о доходах;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рассмотрения на заседаниях комиссий по соблюдению требований к служебному поведению и урегулированию конфликта интересов про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ектов подготовленных карт коррупционных рисков и вопроса об актуализации соответствующих перечней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обеспечена оценк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коррупционных рисков, возникающих при реализации функций 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, в том числе в ходе закупочной деятельности;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при анализе коррупционных рисков, связанных с исполнением должностных обязанностей сотрудниками министерства, комиссией по соблюдению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требований к служебному поведению государственных гражданских служащих и урегулированию конфликта интересов министерства принято решение актуализировать перечень должностей гражданской службы Новосибирской области министерства, при замещении которых госуд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арственные гражданские служащие Новосибирской области обязаны представлять сведения о доходах;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- 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 заседании комиссии по соблюдению требований к служебному поведению госуд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арственных гражданских служащих и урегулированию конфликта интересов рассматривался вопрос дополнения перечня должностей, при замещении которых государственные гражданские служащие обязаны представлять сведения о доходах, с внесением которых дополнена карт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коррупционных рисков министерства.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yellow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обеспечении: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на регулярной основе обучение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по вопросам минимизации коррупционных рисков при реализации национальных и федеральных проектов государственных гражданских служащих и работников исполнительных органов Новосибирской области и подведомственных им государственных учреждений, ответственных: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за реализацию национальных проектов;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за профилактику коррупционных и иных правонарушений в исполнительных органах Новосибирской области и подведомственных им государственных учреждениях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 гражданские служащие министерства, ответственные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 реализацию национальных проектов, прошли повышение квалификации по теме «Минимизация рисков коррупционных правонарушений при реализации национальных и федеральных проектов».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Работники подведомственных министерству учреждений обучение по вопросам минимизации коррупционных рисков при реализации национальных и федеральных проектов не проходили;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гражданские служащие министерства, ответственные за работу по противодействи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коррупции, прошли повышение квалификации по темам «Противодействие коррупции», «Противодействие коррупции в органах государственной власти и органах местного самоуправления»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обеспечении: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актуализации нормативных правовых актов в целях приведения их в соответствие с федеральным законодательством, с учетом правоприменительной практики;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разъяснения должностным лицам органа порядка применения норм законодательства в целях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надлежащего исполнения обязанностей и соблюдения ограничений, установленных в целях противодействия коррупции, в том числе в целях предупреждения совершения коррупционных правонарушений в сфере реализации национальных и федеральных (региональных) проектов;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рассмотрения на заседаниях комиссий по соблюдению требований к служебному поведению и урегулированию конфликта интересов: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результатов анализа сведений о доходах, представленных государственными гражданскими служащими и материалов антикоррупционных проверок, по результатам пр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оведения которых имеются сомнения (разногласия) в вопросе применения взысканий за совершение коррупционных правонарушений и (или) принятия мер по устранению выявленных нарушений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в 2024 году министерством 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актуализированы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нормативные правовые акты: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 13.02.2024 № 224-НПА «О внесении изменений в приказ министерства труда и социального развития Новосибирской области от 12.02.2018 № 136»;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13.02.2024 № 225-НПА «О внесении изменений в приказ министерства труда и социального развития Новосибирской области от 18.01.2018 № 43»;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01.03.2024 № 337-НПА «О внесении изменений в приказ министерства труда и социального развития Новосибирской области от 18.01.2018 № 43»;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21.03.2024 № 464-НПА «О внесении изменений в приказ министерства труда и социального развития Новосибирской области от 18.01.2018 № 43»;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22.04.2024 № 734-НПА «О внесении изменений в приказ министерства труда и социального развития Новосибирской области от 25.06.2020 № 570»;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 19.06.2024 № 1342-НПА «О внесении изменений в  отдельные приказы министерства труда и социального развития Новосибирской области»;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15.07.2024 № 1592-НПА «О внесении изменений в приказ министерства труда и социального развития Новосибирской области от 18.01.2018 № 43»;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приказ от 27.11.2024 № 2572-НПА «О внесении изменений в отдельные приказы министерства труда и социального развития Новосибирской области»;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 в целях надлежащего ис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полнения обязанностей и соблюдения ограничений, установленных в целях противодействия коррупции, в том числе в целях предупреждения совершения коррупционных правонарушений в сфере реализации национальных и федеральных (региональных) проектов государственны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граждански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служащи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 разъясняется поряд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ок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применения норм законодательства;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на заседании коми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ссии по соблюдению требований к служебному поведению государственных гражданских служащих и урегулированию конфликта интересов министерства рассмотрен вопрос об исполнении обязанности по представлению сведений о доходах и анализе представленных сведений. Ф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актически в рамках декларационной кампании 2024 года обязанность по представлению сведений о доходах исполнена, приняты справки о доходах в количестве 223 шт., представленные 99 декларантами. Антикоррупционные проверки в отчетном периоде не осуществлялись;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обеспечении: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 анализа материалов, размещенных в средствах массовой информации о фактах проявления коррупции в соответствующем органе, и принятии мер реагирования в случае их подтверждения;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 размещения на официальных сайтах исполнительных органов Новосибирской области информации о реализации антикоррупционных мероприятий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нформаци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о фактах проявления коррупции в министерстве в средствах массовой информации не размещалась;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нформации о реализации антикоррупционных мероприятий </w:t>
            </w:r>
            <w:r>
              <w:rPr>
                <w:rFonts w:ascii="Times New Roman" w:hAnsi="Times New Roman" w:eastAsia="Calibri" w:cs="Times New Roman CYR"/>
                <w:sz w:val="26"/>
                <w:szCs w:val="26"/>
                <w:lang w:eastAsia="ru-RU"/>
              </w:rPr>
              <w:t xml:space="preserve">размещается в разделе «Противодействие коррупции» на странице официального сайта министерства в информационно-телекоммуникационной сети «Интернет». </w:t>
            </w:r>
            <w:r/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850"/>
              <w:jc w:val="both"/>
              <w:spacing w:before="0" w:after="0" w:line="240" w:lineRule="auto"/>
              <w:rPr>
                <w:rFonts w:ascii="Times New Roman" w:hAnsi="Times New Roman" w:eastAsia="Calibri" w:cs="Times New Roman CYR"/>
                <w:color w:val="000000"/>
                <w:sz w:val="26"/>
                <w:szCs w:val="26"/>
                <w:highlight w:val="green"/>
                <w:u w:val="none"/>
                <w:lang w:eastAsia="ru-RU"/>
              </w:rPr>
            </w:pPr>
            <w:r>
              <w:rPr>
                <w:rFonts w:ascii="Times New Roman" w:hAnsi="Times New Roman" w:eastAsia="Calibri" w:cs="Times New Roman CYR"/>
                <w:color w:val="000000"/>
                <w:sz w:val="26"/>
                <w:szCs w:val="26"/>
                <w:highlight w:val="green"/>
                <w:u w:val="none"/>
                <w:lang w:eastAsia="ru-RU"/>
              </w:rPr>
            </w:r>
            <w:r>
              <w:rPr>
                <w:rFonts w:ascii="Times New Roman" w:hAnsi="Times New Roman" w:eastAsia="Calibri" w:cs="Times New Roman CYR"/>
                <w:color w:val="000000"/>
                <w:sz w:val="26"/>
                <w:szCs w:val="26"/>
                <w:highlight w:val="green"/>
                <w:u w:val="none"/>
                <w:lang w:eastAsia="ru-RU"/>
              </w:rPr>
            </w:r>
          </w:p>
        </w:tc>
      </w:tr>
      <w:tr>
        <w:tblPrEx/>
        <w:trPr>
          <w:trHeight w:val="877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 участии в 2024 году государственных гражданских служащих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в управлении некоммерческими организациями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, с указанием:</w:t>
            </w:r>
            <w:r/>
          </w:p>
        </w:tc>
      </w:tr>
      <w:tr>
        <w:tblPrEx/>
        <w:trPr>
          <w:trHeight w:val="87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количества: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1) лиц, обратившихся с ходатайством о получении разрешения на участие в управлении некоммерческой организацией,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которым разрешено участвовать;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2) лиц, обратившихся с ходатайством о получении разрешения на участие в управлении некоммерческой организацией,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которым отказано в разрешении участвовать;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ходатайства о разрешении участия на безвозмездной основе в управлении некоммерческой организацией от гражданских служащих министерства в 2024 году не поступали.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87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сведений о выявленных нарушений, в том числе: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1) количества допущенных государственными гражданскими служащими нарушений;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2) характера допущенных государственными гражданскими служащими нарушений;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3) способов выявления допущенных государственными гражданскими служащими нарушений;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4) принятые меры по указанным фактам (с указанием конкретного вида взыскания, в случае его применения).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нарушения не выявлены.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877"/>
        </w:trPr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3"/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39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 проведении в 2024 году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органами прокуратуры Новосибирской области проверок</w:t>
            </w:r>
            <w:r>
              <w:rPr>
                <w:rStyle w:val="821"/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footnoteReference w:id="6"/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, с указанием: </w:t>
            </w:r>
            <w:r/>
          </w:p>
        </w:tc>
      </w:tr>
      <w:tr>
        <w:tblPrEx/>
        <w:trPr>
          <w:trHeight w:val="87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1) количества проведенных органами прокуратуры проверок;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2) предмета проверки;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3) кем принималось решение об осуществлении проверки;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4) результатов проверки, в том числе: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реквизитов акта прокурорского реагирования или акта об отсутствии нарушений;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 характера выявленных в ходе проверки нарушений, допущенных 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государственными гражданскими служащими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;</w:t>
            </w:r>
            <w:r/>
          </w:p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5) принятых мер ответственности в отношении 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государственных гражданских служащих, допустивших нарушения.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17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проверки министерства в 2024 году органами прокуратуры Новосибирской области не 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  <w:lang w:val="ru-RU" w:eastAsia="ru-RU" w:bidi="ar-SA"/>
              </w:rPr>
              <w:t xml:space="preserve">проводились.</w:t>
            </w:r>
            <w:r/>
          </w:p>
        </w:tc>
      </w:tr>
    </w:tbl>
    <w:p>
      <w:pPr>
        <w:pStyle w:val="817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17"/>
        <w:jc w:val="right"/>
        <w:spacing w:before="0" w:after="0" w:line="240" w:lineRule="auto"/>
      </w:pPr>
      <w:r/>
      <w:r/>
    </w:p>
    <w:sectPr>
      <w:headerReference w:type="default" r:id="rId8"/>
      <w:footnotePr>
        <w:numFmt w:val="decimal"/>
      </w:footnotePr>
      <w:endnotePr/>
      <w:type w:val="nextPage"/>
      <w:pgSz w:w="16838" w:h="11906" w:orient="landscape"/>
      <w:pgMar w:top="766" w:right="567" w:bottom="426" w:left="567" w:header="709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Verdan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Times New Roman;serif;serif;EmojiFont">
    <w:panose1 w:val="020206030504050203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842"/>
        <w:ind w:left="142" w:right="-427" w:firstLine="0"/>
        <w:jc w:val="both"/>
      </w:pPr>
      <w:r>
        <w:rPr>
          <w:rStyle w:val="833"/>
        </w:rPr>
        <w:footnoteRef/>
      </w:r>
      <w:r>
        <w:t xml:space="preserve"> </w:t>
      </w:r>
      <w:r>
        <w:t xml:space="preserve">При подготовке информации просьба обратить внимание на сноски, к которых указаны адресаты, в части предоставления запрашиваемой информации.</w:t>
      </w:r>
      <w:r/>
    </w:p>
  </w:footnote>
  <w:footnote w:id="3">
    <w:p>
      <w:pPr>
        <w:pStyle w:val="842"/>
        <w:ind w:left="142" w:right="0" w:firstLine="0"/>
        <w:jc w:val="both"/>
      </w:pPr>
      <w:r>
        <w:rPr>
          <w:rStyle w:val="833"/>
        </w:rPr>
        <w:footnoteRef/>
      </w:r>
      <w:r>
        <w:t xml:space="preserve"> </w:t>
      </w:r>
      <w:r>
        <w:t xml:space="preserve">Информация предоставляется исполнительными органами Новосибирской области, не предоставившими такую информацию на момент получения данного запроса.</w:t>
      </w:r>
      <w:r/>
    </w:p>
  </w:footnote>
  <w:footnote w:id="4">
    <w:p>
      <w:pPr>
        <w:pStyle w:val="842"/>
        <w:ind w:left="142" w:right="0" w:firstLine="0"/>
        <w:jc w:val="both"/>
      </w:pPr>
      <w:r>
        <w:rPr>
          <w:rStyle w:val="833"/>
        </w:rPr>
        <w:footnoteRef/>
      </w:r>
      <w:r>
        <w:t xml:space="preserve"> </w:t>
      </w:r>
      <w:r>
        <w:t xml:space="preserve">Информация пред</w:t>
      </w:r>
      <w:r>
        <w:t xml:space="preserve">оставляется ответственными исполнителями мероприятий, предусмотренных Планом совместных мероприятий (министерством культуры Новосибирской области, министерством образования Новосибирской области, министерством труда и социального развития Новосибирской обл</w:t>
      </w:r>
      <w:r>
        <w:t xml:space="preserve">асти, министерством физической культуры и спорта Новосибирской области, министерством природных ресурсов и экологии Новосибирской области, министерством сельского хозяйства Новосибирской области, управлением информационных проектов Новосибирской области). </w:t>
      </w:r>
      <w:r/>
    </w:p>
  </w:footnote>
  <w:footnote w:id="5">
    <w:p>
      <w:pPr>
        <w:pStyle w:val="842"/>
        <w:contextualSpacing/>
        <w:ind w:left="142" w:right="0" w:hanging="142"/>
        <w:jc w:val="both"/>
        <w:spacing w:before="0" w:after="0"/>
      </w:pPr>
      <w:r>
        <w:rPr>
          <w:rStyle w:val="833"/>
        </w:rPr>
        <w:footnoteRef/>
      </w:r>
      <w:r>
        <w:tab/>
        <w:t xml:space="preserve"> </w:t>
      </w:r>
      <w:r>
        <w:t xml:space="preserve">Информация предоставляется исполнительными органами Новосибирской области, не предоставившими такую информацию на момент получения данного запроса.</w:t>
      </w:r>
      <w:r/>
    </w:p>
  </w:footnote>
  <w:footnote w:id="6">
    <w:p>
      <w:pPr>
        <w:pStyle w:val="842"/>
      </w:pPr>
      <w:r>
        <w:rPr>
          <w:rStyle w:val="833"/>
        </w:rPr>
        <w:footnoteRef/>
      </w:r>
      <w:r>
        <w:t xml:space="preserve"> </w:t>
      </w:r>
      <w:r>
        <w:t xml:space="preserve">Информация предоставляется исполнительными органами Новосибирской области, в которых в течение 2024 года органы прокуратуры Новосибирской области осуществляли проверки на основании соответствующего решения о проведении проверки.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0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  <w:p>
    <w:pPr>
      <w:pStyle w:val="8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17"/>
    <w:next w:val="8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17"/>
    <w:next w:val="8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17"/>
    <w:next w:val="8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17"/>
    <w:next w:val="8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17"/>
    <w:next w:val="8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17"/>
    <w:next w:val="8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17"/>
    <w:next w:val="8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17"/>
    <w:next w:val="8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17"/>
    <w:next w:val="8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17"/>
    <w:next w:val="8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18"/>
    <w:link w:val="34"/>
    <w:uiPriority w:val="10"/>
    <w:rPr>
      <w:sz w:val="48"/>
      <w:szCs w:val="48"/>
    </w:rPr>
  </w:style>
  <w:style w:type="paragraph" w:styleId="36">
    <w:name w:val="Subtitle"/>
    <w:basedOn w:val="817"/>
    <w:next w:val="8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18"/>
    <w:link w:val="36"/>
    <w:uiPriority w:val="11"/>
    <w:rPr>
      <w:sz w:val="24"/>
      <w:szCs w:val="24"/>
    </w:rPr>
  </w:style>
  <w:style w:type="paragraph" w:styleId="38">
    <w:name w:val="Quote"/>
    <w:basedOn w:val="817"/>
    <w:next w:val="8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17"/>
    <w:next w:val="8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18"/>
    <w:link w:val="841"/>
    <w:uiPriority w:val="99"/>
  </w:style>
  <w:style w:type="character" w:styleId="45">
    <w:name w:val="Footer Char"/>
    <w:basedOn w:val="818"/>
    <w:link w:val="848"/>
    <w:uiPriority w:val="99"/>
  </w:style>
  <w:style w:type="character" w:styleId="47">
    <w:name w:val="Caption Char"/>
    <w:basedOn w:val="838"/>
    <w:link w:val="848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842"/>
    <w:uiPriority w:val="99"/>
    <w:rPr>
      <w:sz w:val="18"/>
    </w:rPr>
  </w:style>
  <w:style w:type="character" w:styleId="177">
    <w:name w:val="footnote reference"/>
    <w:basedOn w:val="818"/>
    <w:uiPriority w:val="99"/>
    <w:unhideWhenUsed/>
    <w:rPr>
      <w:vertAlign w:val="superscript"/>
    </w:rPr>
  </w:style>
  <w:style w:type="character" w:styleId="179">
    <w:name w:val="Endnote Text Char"/>
    <w:link w:val="844"/>
    <w:uiPriority w:val="99"/>
    <w:rPr>
      <w:sz w:val="20"/>
    </w:rPr>
  </w:style>
  <w:style w:type="character" w:styleId="180">
    <w:name w:val="endnote reference"/>
    <w:basedOn w:val="818"/>
    <w:uiPriority w:val="99"/>
    <w:semiHidden/>
    <w:unhideWhenUsed/>
    <w:rPr>
      <w:vertAlign w:val="superscript"/>
    </w:rPr>
  </w:style>
  <w:style w:type="paragraph" w:styleId="181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pPr>
      <w:jc w:val="left"/>
      <w:spacing w:before="0" w:after="0" w:line="259" w:lineRule="auto"/>
      <w:widowControl/>
    </w:pPr>
    <w:rPr>
      <w:rFonts w:ascii="Calibri" w:hAnsi="Calibri" w:eastAsia="Calibri" w:cs="Tahoma"/>
      <w:color w:val="auto"/>
      <w:sz w:val="27"/>
      <w:szCs w:val="22"/>
      <w:lang w:val="ru-RU" w:eastAsia="en-US" w:bidi="ar-SA"/>
    </w:rPr>
  </w:style>
  <w:style w:type="character" w:styleId="818" w:default="1">
    <w:name w:val="Default Paragraph Font"/>
    <w:qFormat/>
  </w:style>
  <w:style w:type="character" w:styleId="819">
    <w:name w:val="Верхний колонтитул Знак"/>
    <w:basedOn w:val="818"/>
    <w:qFormat/>
  </w:style>
  <w:style w:type="character" w:styleId="820">
    <w:name w:val="Текст сноски Знак"/>
    <w:basedOn w:val="81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1">
    <w:name w:val="Привязка сноски"/>
    <w:rPr>
      <w:vertAlign w:val="superscript"/>
    </w:rPr>
  </w:style>
  <w:style w:type="character" w:styleId="822">
    <w:name w:val="Footnote Characters"/>
    <w:basedOn w:val="818"/>
    <w:qFormat/>
    <w:rPr>
      <w:vertAlign w:val="superscript"/>
    </w:rPr>
  </w:style>
  <w:style w:type="character" w:styleId="823">
    <w:name w:val="Текст концевой сноски Знак"/>
    <w:basedOn w:val="818"/>
    <w:qFormat/>
    <w:rPr>
      <w:sz w:val="20"/>
      <w:szCs w:val="20"/>
    </w:rPr>
  </w:style>
  <w:style w:type="character" w:styleId="824">
    <w:name w:val="Привязка концевой сноски"/>
    <w:rPr>
      <w:vertAlign w:val="superscript"/>
    </w:rPr>
  </w:style>
  <w:style w:type="character" w:styleId="825">
    <w:name w:val="Endnote Characters"/>
    <w:basedOn w:val="818"/>
    <w:qFormat/>
    <w:rPr>
      <w:vertAlign w:val="superscript"/>
    </w:rPr>
  </w:style>
  <w:style w:type="character" w:styleId="826">
    <w:name w:val="annotation reference"/>
    <w:basedOn w:val="818"/>
    <w:qFormat/>
    <w:rPr>
      <w:sz w:val="16"/>
      <w:szCs w:val="16"/>
    </w:rPr>
  </w:style>
  <w:style w:type="character" w:styleId="827">
    <w:name w:val="Текст примечания Знак"/>
    <w:basedOn w:val="818"/>
    <w:qFormat/>
    <w:rPr>
      <w:sz w:val="20"/>
      <w:szCs w:val="20"/>
    </w:rPr>
  </w:style>
  <w:style w:type="character" w:styleId="828">
    <w:name w:val="Тема примечания Знак"/>
    <w:basedOn w:val="827"/>
    <w:qFormat/>
    <w:rPr>
      <w:b/>
      <w:bCs/>
      <w:sz w:val="20"/>
      <w:szCs w:val="20"/>
    </w:rPr>
  </w:style>
  <w:style w:type="character" w:styleId="829">
    <w:name w:val="Текст выноски Знак"/>
    <w:basedOn w:val="818"/>
    <w:qFormat/>
    <w:rPr>
      <w:rFonts w:ascii="Segoe UI" w:hAnsi="Segoe UI" w:cs="Segoe UI"/>
      <w:sz w:val="18"/>
      <w:szCs w:val="18"/>
    </w:rPr>
  </w:style>
  <w:style w:type="character" w:styleId="830">
    <w:name w:val="Интернет-ссылка"/>
    <w:basedOn w:val="818"/>
    <w:rPr>
      <w:color w:val="0563c1"/>
      <w:u w:val="single"/>
    </w:rPr>
  </w:style>
  <w:style w:type="character" w:styleId="831">
    <w:name w:val="Нижний колонтитул Знак"/>
    <w:basedOn w:val="818"/>
    <w:qFormat/>
  </w:style>
  <w:style w:type="character" w:styleId="832">
    <w:name w:val="Посещённая гиперссылка"/>
    <w:basedOn w:val="818"/>
    <w:rPr>
      <w:color w:val="954f72"/>
      <w:u w:val="single"/>
    </w:rPr>
  </w:style>
  <w:style w:type="character" w:styleId="833">
    <w:name w:val="Символ сноски"/>
    <w:qFormat/>
  </w:style>
  <w:style w:type="character" w:styleId="834">
    <w:name w:val="Символ концевой сноски"/>
    <w:qFormat/>
  </w:style>
  <w:style w:type="paragraph" w:styleId="835">
    <w:name w:val="Заголовок"/>
    <w:basedOn w:val="817"/>
    <w:next w:val="83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6">
    <w:name w:val="Body Text"/>
    <w:basedOn w:val="817"/>
    <w:pPr>
      <w:spacing w:before="0" w:after="0" w:line="276" w:lineRule="auto"/>
    </w:pPr>
  </w:style>
  <w:style w:type="paragraph" w:styleId="837">
    <w:name w:val="List"/>
    <w:basedOn w:val="836"/>
    <w:rPr>
      <w:rFonts w:cs="Droid Sans Devanagari"/>
    </w:rPr>
  </w:style>
  <w:style w:type="paragraph" w:styleId="838">
    <w:name w:val="Caption"/>
    <w:basedOn w:val="8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9">
    <w:name w:val="Указатель"/>
    <w:basedOn w:val="817"/>
    <w:qFormat/>
    <w:pPr>
      <w:suppressLineNumbers/>
    </w:pPr>
    <w:rPr>
      <w:rFonts w:cs="Droid Sans Devanagari"/>
    </w:rPr>
  </w:style>
  <w:style w:type="paragraph" w:styleId="840">
    <w:name w:val="Верхний и нижний колонтитулы"/>
    <w:basedOn w:val="817"/>
    <w:qFormat/>
  </w:style>
  <w:style w:type="paragraph" w:styleId="841">
    <w:name w:val="Header"/>
    <w:basedOn w:val="81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2">
    <w:name w:val="footnote text"/>
    <w:basedOn w:val="817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3">
    <w:name w:val="List Paragraph"/>
    <w:basedOn w:val="817"/>
    <w:qFormat/>
    <w:pPr>
      <w:contextualSpacing/>
      <w:ind w:left="720" w:right="0" w:firstLine="0"/>
      <w:spacing w:before="0" w:after="160"/>
    </w:pPr>
  </w:style>
  <w:style w:type="paragraph" w:styleId="844">
    <w:name w:val="endnote text"/>
    <w:basedOn w:val="817"/>
    <w:pPr>
      <w:spacing w:before="0" w:after="0" w:line="240" w:lineRule="auto"/>
    </w:pPr>
    <w:rPr>
      <w:sz w:val="20"/>
      <w:szCs w:val="20"/>
    </w:rPr>
  </w:style>
  <w:style w:type="paragraph" w:styleId="845">
    <w:name w:val="annotation text"/>
    <w:basedOn w:val="817"/>
    <w:qFormat/>
    <w:pPr>
      <w:spacing w:line="240" w:lineRule="auto"/>
    </w:pPr>
    <w:rPr>
      <w:sz w:val="20"/>
      <w:szCs w:val="20"/>
    </w:rPr>
  </w:style>
  <w:style w:type="paragraph" w:styleId="846">
    <w:name w:val="annotation subject"/>
    <w:basedOn w:val="845"/>
    <w:next w:val="845"/>
    <w:qFormat/>
    <w:rPr>
      <w:b/>
      <w:bCs/>
    </w:rPr>
  </w:style>
  <w:style w:type="paragraph" w:styleId="847">
    <w:name w:val="Balloon Text"/>
    <w:basedOn w:val="817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48">
    <w:name w:val="Footer"/>
    <w:basedOn w:val="81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9">
    <w:name w:val="Знак"/>
    <w:basedOn w:val="817"/>
    <w:qFormat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0">
    <w:name w:val="ConsPlusNormal"/>
    <w:qFormat/>
    <w:pPr>
      <w:jc w:val="left"/>
      <w:spacing w:before="0" w:after="0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851">
    <w:name w:val="Содержимое таблицы"/>
    <w:basedOn w:val="817"/>
    <w:qFormat/>
    <w:pPr>
      <w:suppressLineNumbers/>
    </w:pPr>
  </w:style>
  <w:style w:type="numbering" w:styleId="852" w:default="1">
    <w:name w:val="No List"/>
    <w:qFormat/>
  </w:style>
  <w:style w:type="table" w:styleId="33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dc:description/>
  <dc:language>ru-RU</dc:language>
  <cp:revision>103</cp:revision>
  <dcterms:created xsi:type="dcterms:W3CDTF">2024-12-20T03:43:00Z</dcterms:created>
  <dcterms:modified xsi:type="dcterms:W3CDTF">2025-08-15T08:52:24Z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Правительство Новосибирской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