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3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ЗАКОН</w:t>
      </w:r>
      <w:r>
        <w:rPr>
          <w:rFonts w:ascii="Times New Roman" w:hAnsi="Times New Roman" w:eastAsia="Times New Roman"/>
          <w:b/>
          <w:sz w:val="40"/>
          <w:szCs w:val="40"/>
        </w:rPr>
      </w: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НОВОСИБИРСКОЙ ОБЛАСТИ</w:t>
      </w:r>
      <w:r>
        <w:rPr>
          <w:rFonts w:ascii="Times New Roman" w:hAnsi="Times New Roman" w:eastAsia="Times New Roman"/>
          <w:b/>
          <w:sz w:val="40"/>
          <w:szCs w:val="40"/>
        </w:rPr>
      </w: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зменений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отдельные законы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регулирующие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наделение органов местного самоуправления муниципальных образований Новосибирской области отдельными государственными полномочиями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Статья 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Внести в Закон Но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восибирской области от 13 декабря 2006 года № 65-ОЗ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обеспечению социального обс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луживания отдельных категор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ий гр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аждан» (с изменениями, внесенными Законами Новосибирской области от 15 октября 2007 года № 142-ОЗ, от 2 мая 2009 года № 335-ОЗ, от 2 октября 2014 года № 465-ОЗ, от 4 июня 2019 года № 371-ОЗ, от 22 декабря 2020 года № 43-ОЗ, от 6 ноября 2024 года № 500-ОЗ)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следующ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 изменени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статье 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образований Новосибирской области, указанных в статье 3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самоуправления),»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районов, муниципальных округов, городских округов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 признать утратившей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слов «отдельными государственными полномочиями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«, указанными в статье 1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Внести в Закон Новосибирской области от 8 мая 2013 года № 326-ОЗ «О наделении органо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евых (межотраслевых) соглашений» (с изменениями, внесенными Законами Новосибирской области от 22 декабря 2020 года № 43-ОЗ, от 6 ноября 2024 года № 500-ОЗ)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статье 1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образований Новосибирской области, указанных в статье 2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самоуправления),»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районов, муниципальных округов, городских округов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 статью 2 признать утратившей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слов «отдельными государственными полномочиями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«, указанными в статье 1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приложение к Закону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овосибирской области от 10 декабря 2013 года № 411-ОЗ «О наделении органов местного самоуправления муниципальных образований Новосибирской области отдель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(с изменениями, внесенными Законами Новосибирской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от 2 февраля 2015 года № 517-ОЗ, от 3 февраля 2016 года № 31-ОЗ, от 28 марта 2017 года № 148-ОЗ, от 4 июня 2019 года № 371-ОЗ, от 9 октября 2019 года № 412-ОЗ, от 28 ноября 2019 года № 434-ОЗ, от 14 июля 2020 года № 501-ОЗ, от 14 июля 2021 года № 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04-ОЗ, от 7 апреля 2022 года № 190-ОЗ, от 7 апреля 2022 года № 193-ОЗ, от 5 октября 2022 года № 251-ОЗ, от 4 октября 2023 года № 381-ОЗ, от 31 октября 2023 года № 384-ОЗ, от 5 февраля 2024 года № 422-ОЗ, от 6 ноября 2024 года № 500-ОЗ,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 6 ноября 2024 года № 504-ОЗ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нкте 4: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абзац четвертый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ожi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= 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pжi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+ 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fжi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+ C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obdi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+ 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sжi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+ C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вi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+ 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крi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+ 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адмi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при этом: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contextualSpacing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адмi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объем субвенций, предоставляемых местному бюджету i-го муниципального образования Новосибирской области на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организацию осуществления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отдельных государственных полномочий по предоставлению гражданам жилых помещений, в том числе осуществлению строит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ельства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жилых помещений, а также по предоставлению социальной выплаты на приобретение жилого помещения, выплаты на приобретение жилого помещения или погашение ипотеки (далее – организация осуществления отдельных государственных полномочий), определяемый по формуле: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адмi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= 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обеспi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+ 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прочi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обеспi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объем субвенций, предоставляемых местному бюджету i-го муниципального образования Новосибирской области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отдельных государственных полномочий (выполнение функций, связанных с непосредственным предоставлением жилых помещений, выплат на приобретение жилого помещения), определяемый по формуле: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обеспi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 =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0,0051 х (Аi + Аi х 0,25) х Ч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обеспi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0,0051 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коэффициент рабочего времени специалиста, необходимого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организации осуществления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отдельных государственных полномочий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(выполнение функций, связанных с непосредственным предоставлением жилых помещений, выплат на приобретение жилого помещения)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A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фонд оплаты труда с начислениями на оплату труда специалиста, являющегося муниципальным служащим i-го муниципального образования Новосибирской области, устанавливаемый в соответствии с законодательством Новосибирской области;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0,25 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коэффициент нормирования материальных расходов на организацию осуществления отдельных государственных полномочий;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обеспi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– количество граждан в i-ом муниципальном образовании Новосибирской области, которым будут предоставлены жилые помещения,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выплаты на приобретение жилого помещения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в соответствующем финансовом году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bscript"/>
        </w:rPr>
        <w:t xml:space="preserve">прочi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объем субвенций, предоставляемых местному бюджету i-го муниципального образования Новосибирской области на 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 (выполнение прочих функций, связанных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предоставлением жилых помещений, выплат на приобретение жилого помещения)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определяемый по формуле: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прочi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 =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0,0092 х (Аi + Аi х 0,25) х Ч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прочi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0,0092 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коэффициент рабочего времени специалиста, необходимого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организации осуществления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 отдельных государственных полномочий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(выполнение прочих функций, связанных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предоставлением жилых помещений, выплат на приобретение жилого помещения)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прочi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количество граждан в i-ом муниципальном образовании Новосибирской области, указанных в Федеральном законе № 159-ФЗ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в пункте 5: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абзац четвертый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свидi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= V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x 33 x D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рnsoi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+ S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адмi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после абзаца седьмого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S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адмi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объем субвенций, предоставляемых местному бюджету i-го муниципального образования Новосибирской области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 предоставлению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единовременной выплаты на приобретение в собственность жилого помещения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определяемый по формуле: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S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адмi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 =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0,0038 х (Аi + Аi х 0,25) х V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0,0038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коэффициент рабочего времени специалиста, необходимого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организации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в части предоставления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единовременной выплаты на приобретение в собственность жилого помещения;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A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фонд оплаты труда с начислениями на оплату труда специалиста, являющегося муниципальным служащим i-го муниципального образования Новосибирской области, устанавливаемый в соответствии с законодательством Новосибирской области;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0,25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коэффициент нормирования материальных расходов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 по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предоставлению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единовременной выплаты на приобретение в собственность жилого помещения.».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Внести в Закон Новосибирской 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бласти от 2 октября 2014 года № 469-ОЗ 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(с изменениями, внесенными Законами Новосибирск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ой области от 6 мая 2019 года №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363-ОЗ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, от 3 февраля 2021 года № 53-ОЗ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от 6 ноября 2024 года № 500-ОЗ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в статье 1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образований Новосибирской области, указанных в статье 2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самоуправления),»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районов, муниципальных округов, городских округов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 статью 2 признать утратившей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слов «отдельными государственными полномочиями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«, указанными в статье 1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Внести в Закон Новоси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бирской области от 14 июля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№ 225-ОЗ «О наделении органов местного самоуправления муниципаль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погребению»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(с изменениями, внесенными Законом Новосибирск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 6 ноября 2024 года № 500-ОЗ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статье 1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образований Новосибирской области, указанных в статье 2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самоуправления),»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районов, муниципальных округов, городских округов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 статью 2 признать утратившей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слов «отдельными государственными полномочиями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«, указанными в статье 1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приложении: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абзаце втором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формуле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(1)» 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формуле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б) в абзаце третьем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(1), где:» заменить словом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где:»;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в) в абзаце шестом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формуле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(2)» 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формуле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абзац седьмо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Ссубi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=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x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Qi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+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д) в абзаце восьмом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возмещение стоимости услуг по погребению специализированной службе по вопросам похоронного дела»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возмещение специализированной службе по вопросам похоронного дела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стоимости услуг, предоставляемых согласно гарантированному перечню услуг по погребению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возмещение специализированной службе по вопросам похоронног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дела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 после абзаца девятого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 –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норматив финансовых затрат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-го муниципального образования в соответствующем финансовом году,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5"/>
        <w:contextualSpacing/>
        <w:ind w:left="0" w:right="0" w:firstLine="709"/>
        <w:jc w:val="both"/>
        <w:spacing w:before="2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= 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,0005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х 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 +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0,25)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spacing w:before="2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5"/>
        <w:contextualSpacing/>
        <w:ind w:left="0" w:right="0" w:firstLine="709"/>
        <w:jc w:val="both"/>
        <w:spacing w:before="2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0,0005 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коэффициент рабочего времени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пециалиста, необходимого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организации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spacing w:before="2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5"/>
        <w:contextualSpacing/>
        <w:ind w:left="0" w:right="0" w:firstLine="709"/>
        <w:jc w:val="both"/>
        <w:spacing w:before="2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Di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фонд оплаты труда с начислениями на оплату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специалиста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являющегося муниципальным служащим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муниципального образования, устанавливаемый в соответствии с законодательством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709"/>
        <w:jc w:val="both"/>
        <w:spacing w:before="2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5"/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0,25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коэффициент нормирования материальных расходов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Внести в Закон Новосибирской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области от 5 октября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2022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№ 248-ОЗ «О наделении органов местного самоуправления муниципал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ьных образований Новосибирской области отдельными государственными полномочиями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(с изменениями, внесенными Законом Новосибирск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 6 ноября 2024 года № 500-ОЗ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статье 1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образований Новосибирской области, указанных в статье 2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самоуправления),»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районов, муниципальных округов, городских округов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 статью 2 признать утратившей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слов «отдельными государственными полномочиями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«, указанными в статье 1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приложении: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абзац седьмо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Собi = Фi + Маi + Рсi + Рмi + Робi + Фадмi, где: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после абзаца семнадцатого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 – норматив финансовых затрат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в 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-ом муниципальном образовании в соответствующем финансовом году,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Фадмi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= 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,0426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х 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Аi +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0,25) х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0,0426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коэффициент рабочего времени специалиста, необходимого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организации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A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фонд оплаты труда с начислениями на оплату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специалиста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являющегося муниципальным служащим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муниципального образования, устанавливаемый в соответствии с законодательством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0,25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коэффициент нор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мирования материальных расходов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Ki –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количество специализированных организаций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i-ом муниципальном образовании.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Внести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Закон Новоси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бирской области от 19 декабря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№ 409-ОЗ «О наделении 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помещения»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(с изменениями, внесенными Законом Новосибирск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 6 ноября 2024 года № 500-ОЗ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статье 1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образований Новосибирской области, указанных в статье 2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самоуправления),»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районов, муниципальных округов, городских округов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органы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0"/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 статью 2 признать утратившей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слов «отдельными государственными полномочиями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«, указанными в статье 1 настоящего Закона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приложении: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абзац седьмо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Собi = Роб x Чобi + Рпр x Чпрi + Садмi, где: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Садмi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объем субвенций, предоставляемых местному бюджету i-го муниципального образования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Садмi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 = 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0,0039 х (Аi + Аi х 0,25) х Чi,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 где: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0,0039 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коэффициент рабочего времени специалиста, необходимого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организации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A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фонд оплаты труда с начислениями на оплату труда специалиста, являющегося муниципальным служащим i-го муниципального образования, устанавливаемый в соответствии с законодательством Новосибирской области;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0,25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коэффициент нормирования материальных расходов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организацию осуществления отдельных государственны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полномочий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</w:p>
    <w:p>
      <w:pPr>
        <w:pStyle w:val="888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4"/>
          <w:szCs w:val="24"/>
          <w:highlight w:val="none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spacing w:val="0"/>
          <w:position w:val="0"/>
          <w:sz w:val="28"/>
          <w:szCs w:val="28"/>
          <w:highlight w:val="none"/>
        </w:rPr>
        <w:t xml:space="preserve">Чi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 количество граждан, которым будет предоставлена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единовременная денежная выплата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position w:val="0"/>
          <w:sz w:val="28"/>
          <w:szCs w:val="28"/>
          <w:highlight w:val="none"/>
        </w:rPr>
        <w:t xml:space="preserve"> в соответствующем финансовом году в i-м муниципальном образовании.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Статья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860"/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Настоящий Закон, за исключением статьи 3, пункта 4 статьи 5, пункта 4 статьи 6, 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4 статьи 7, вступает в силу по истечении 10 дней после дня его официального опубликования.</w:t>
      </w:r>
      <w:r/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Статья 3, пункт 4 статьи 5, пункт 4 статьи 6, 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 статьи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Закона вступают в силу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Новосибирск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№_______________ – ОЗ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1">
    <w:name w:val="Основной шрифт абзаца"/>
    <w:next w:val="861"/>
    <w:link w:val="860"/>
    <w:uiPriority w:val="1"/>
    <w:unhideWhenUsed/>
  </w:style>
  <w:style w:type="table" w:styleId="862">
    <w:name w:val="Обычная таблица"/>
    <w:next w:val="862"/>
    <w:link w:val="860"/>
    <w:uiPriority w:val="99"/>
    <w:semiHidden/>
    <w:unhideWhenUsed/>
    <w:tblPr/>
  </w:style>
  <w:style w:type="numbering" w:styleId="863">
    <w:name w:val="Нет списка"/>
    <w:next w:val="863"/>
    <w:link w:val="860"/>
    <w:uiPriority w:val="99"/>
    <w:semiHidden/>
    <w:unhideWhenUsed/>
  </w:style>
  <w:style w:type="paragraph" w:styleId="864">
    <w:name w:val="Верхний колонтитул"/>
    <w:basedOn w:val="860"/>
    <w:next w:val="864"/>
    <w:link w:val="865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865">
    <w:name w:val="Верхний колонтитул Знак"/>
    <w:next w:val="865"/>
    <w:link w:val="864"/>
    <w:uiPriority w:val="99"/>
    <w:rPr>
      <w:rFonts w:ascii="Calibri" w:hAnsi="Calibri" w:eastAsia="Times New Roman" w:cs="Times New Roman"/>
    </w:rPr>
  </w:style>
  <w:style w:type="paragraph" w:styleId="866">
    <w:name w:val="Текст выноски"/>
    <w:basedOn w:val="860"/>
    <w:next w:val="866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character" w:styleId="868">
    <w:name w:val="Знак примечания"/>
    <w:next w:val="868"/>
    <w:link w:val="860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60"/>
    <w:next w:val="869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sz w:val="20"/>
      <w:szCs w:val="20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sz w:val="20"/>
      <w:szCs w:val="20"/>
    </w:rPr>
  </w:style>
  <w:style w:type="paragraph" w:styleId="873">
    <w:name w:val="Standard"/>
    <w:next w:val="873"/>
    <w:link w:val="860"/>
    <w:pPr>
      <w:widowControl w:val="off"/>
    </w:pPr>
    <w:rPr>
      <w:rFonts w:ascii="Arial" w:hAnsi="Arial" w:eastAsia="SimSun" w:cs="Arial"/>
      <w:sz w:val="21"/>
      <w:szCs w:val="24"/>
      <w:lang w:val="ru-RU" w:eastAsia="hi-IN" w:bidi="hi-IN"/>
    </w:rPr>
  </w:style>
  <w:style w:type="paragraph" w:styleId="874">
    <w:name w:val="Абзац списка"/>
    <w:basedOn w:val="860"/>
    <w:next w:val="874"/>
    <w:link w:val="860"/>
    <w:uiPriority w:val="34"/>
    <w:qFormat/>
    <w:pPr>
      <w:contextualSpacing/>
      <w:ind w:left="720"/>
    </w:pPr>
  </w:style>
  <w:style w:type="paragraph" w:styleId="875">
    <w:name w:val="ConsPlusNormal"/>
    <w:next w:val="875"/>
    <w:link w:val="860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76">
    <w:name w:val="Гиперссылка"/>
    <w:next w:val="876"/>
    <w:link w:val="860"/>
    <w:uiPriority w:val="99"/>
    <w:unhideWhenUsed/>
    <w:rPr>
      <w:color w:val="0563c1"/>
      <w:u w:val="single"/>
    </w:rPr>
  </w:style>
  <w:style w:type="paragraph" w:styleId="877">
    <w:name w:val="Нижний колонтитул"/>
    <w:basedOn w:val="860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uiPriority w:val="99"/>
    <w:rPr>
      <w:sz w:val="22"/>
      <w:szCs w:val="22"/>
      <w:lang w:eastAsia="en-US"/>
    </w:rPr>
  </w:style>
  <w:style w:type="paragraph" w:styleId="879">
    <w:name w:val="Текст концевой сноски"/>
    <w:basedOn w:val="860"/>
    <w:next w:val="879"/>
    <w:link w:val="880"/>
    <w:uiPriority w:val="99"/>
    <w:semiHidden/>
    <w:unhideWhenUsed/>
    <w:rPr>
      <w:sz w:val="20"/>
      <w:szCs w:val="20"/>
    </w:rPr>
  </w:style>
  <w:style w:type="character" w:styleId="880">
    <w:name w:val="Текст концевой сноски Знак"/>
    <w:next w:val="880"/>
    <w:link w:val="879"/>
    <w:uiPriority w:val="99"/>
    <w:semiHidden/>
    <w:rPr>
      <w:lang w:eastAsia="en-US"/>
    </w:rPr>
  </w:style>
  <w:style w:type="character" w:styleId="881">
    <w:name w:val="Знак концевой сноски"/>
    <w:next w:val="881"/>
    <w:link w:val="860"/>
    <w:uiPriority w:val="99"/>
    <w:semiHidden/>
    <w:unhideWhenUsed/>
    <w:rPr>
      <w:vertAlign w:val="superscript"/>
    </w:rPr>
  </w:style>
  <w:style w:type="paragraph" w:styleId="882">
    <w:name w:val="Текст сноски"/>
    <w:basedOn w:val="860"/>
    <w:next w:val="882"/>
    <w:link w:val="883"/>
    <w:uiPriority w:val="99"/>
    <w:semiHidden/>
    <w:unhideWhenUsed/>
    <w:rPr>
      <w:sz w:val="20"/>
      <w:szCs w:val="20"/>
    </w:rPr>
  </w:style>
  <w:style w:type="character" w:styleId="883">
    <w:name w:val="Текст сноски Знак"/>
    <w:next w:val="883"/>
    <w:link w:val="882"/>
    <w:uiPriority w:val="99"/>
    <w:semiHidden/>
    <w:rPr>
      <w:lang w:eastAsia="en-US"/>
    </w:rPr>
  </w:style>
  <w:style w:type="character" w:styleId="884">
    <w:name w:val="Знак сноски"/>
    <w:next w:val="884"/>
    <w:link w:val="860"/>
    <w:uiPriority w:val="99"/>
    <w:semiHidden/>
    <w:unhideWhenUsed/>
    <w:rPr>
      <w:vertAlign w:val="superscript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  <w:style w:type="paragraph" w:styleId="88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revision>13</cp:revision>
  <dcterms:created xsi:type="dcterms:W3CDTF">2024-07-04T05:42:00Z</dcterms:created>
  <dcterms:modified xsi:type="dcterms:W3CDTF">2025-06-06T09:58:33Z</dcterms:modified>
  <cp:version>983040</cp:version>
</cp:coreProperties>
</file>