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numPr>
          <w:ilvl w:val="0"/>
          <w:numId w:val="0"/>
        </w:numPr>
        <w:ind w:left="5669" w:right="0" w:firstLine="0"/>
        <w:jc w:val="center"/>
        <w:rPr>
          <w:rFonts w:ascii="Times New Roman" w:hAnsi="Times New Roman" w:eastAsia="Times New Roman" w:cs="Times New Roman"/>
          <w:sz w:val="27"/>
          <w:szCs w:val="27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1"/>
        <w:ind w:left="5669" w:right="0" w:firstLine="0"/>
        <w:jc w:val="center"/>
        <w:rPr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 постановлению Правительства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1"/>
        <w:ind w:left="5669" w:right="0" w:firstLine="0"/>
        <w:jc w:val="center"/>
        <w:rPr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Новосибирской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1"/>
        <w:numPr>
          <w:ilvl w:val="0"/>
          <w:numId w:val="0"/>
        </w:numPr>
        <w:ind w:left="5669" w:right="0" w:firstLine="0"/>
        <w:jc w:val="center"/>
        <w:rPr>
          <w:rFonts w:ascii="Times New Roman" w:hAnsi="Times New Roman" w:eastAsia="Times New Roman" w:cs="Times New Roman"/>
          <w:sz w:val="27"/>
          <w:szCs w:val="27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 _____________ № 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1"/>
        <w:numPr>
          <w:ilvl w:val="0"/>
          <w:numId w:val="0"/>
        </w:numPr>
        <w:ind w:left="5669" w:right="0" w:firstLine="0"/>
        <w:jc w:val="center"/>
        <w:rPr>
          <w:rFonts w:ascii="Times New Roman" w:hAnsi="Times New Roman" w:eastAsia="Times New Roman" w:cs="Times New Roman"/>
          <w:sz w:val="27"/>
          <w:szCs w:val="27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669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УТВЕРЖДЕНЫ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5669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Правительства Новосибирской области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br/>
        <w:t xml:space="preserve">от 20.09.2021 № 364-п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10205" w:right="0"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Ключевые показатели и их целевые значения, индикативные показатели регионального государственного контроля (надзора) за приемом на работу инвалидов в пределах установленной квоты</w:t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jc w:val="center"/>
        <w:spacing w:after="0" w:afterAutospacing="0" w:line="240" w:lineRule="auto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Style w:val="721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3289"/>
        <w:gridCol w:w="5924"/>
      </w:tblGrid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(индекс)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Наименование показателя (группы показателей)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Комментарий к порядку установления показателя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1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Ключевые показатели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gridSpan w:val="2"/>
            <w:tcW w:w="9213" w:type="dxa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А.3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gridSpan w:val="2"/>
            <w:tcW w:w="9213" w:type="dxa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показатели, характеризующие различную степень причиненного вреда (ущерба) иным видам охраняемых законном ценностей: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А.3.1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  <w:t xml:space="preserve">доля рабочих мест, подлежащих квотированию, у работодателей со среднесписочной численностью работников более 100 человек, на которых трудятся инвалиды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  <w:t xml:space="preserve">Целевое значение показателя – 75%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рабочих мест, подлежащих квотированию, у работодателей со среднесписочной численностью работников более 100 человек, на которых трудятся инвалиды (Дрм100, %),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  <w:p>
            <w:pPr>
              <w:ind w:left="0" w:right="34" w:firstLine="0"/>
              <w:jc w:val="left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Дрм100 = Крмт100 / Крмк100 x 100%: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Крмт100 - количество рабочих мест, подлежащих квотированию, у работодателей со среднесписочной численностью работников более 100 человек, на которых трудятся инвалиды (ед.),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Крмк100 - количество рабочих мест, подлежащих квотированию, у работодателей со среднесписочной численностью работников более 100 человек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А.3.2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  <w:t xml:space="preserve">доля рабочих мест, подлежащих квотированию, у работодателей со среднесписочной численностью работников не менее чем 35 человек и не более чем 100 человек, на которых трудятся инвалиды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  <w:t xml:space="preserve">«Целевое значение показателя – 80%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рабочих мест, подлежащих квотированию, у работодателей со среднесписочной численностью работников не менее чем 35 человек и не более чем 100 человек, на которых трудятся инвалиды (Дрм35, %),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Дрм35 = Крмт35 / Крмк35 x 100%: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Крмт35 - количество рабочих мест, подлежащих квотированию, у работодателей со среднесписочной численностью работников не менее чем 35 человек и не более чем 100 человек, на которых трудятся инвалиды (ед.);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Крмк35 - количество рабочих мест, подлежащих квотированию, у работодателей со среднесписочной численностью работников не менее чем 35 человек и не более чем 100 человек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1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Индикативные показатели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Б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gridSpan w:val="2"/>
            <w:tcW w:w="921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ндикативные показатели, характеризующие соотношение между степенью устранения риска причинения вреда (ущерба) охраняемым законом ценностям и объемом трудовых, материальных и финансовых ресурсов и издержек работодателей, при осуществлении в отношении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них контрольных (надзорных) мероприятий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>
          <w:trHeight w:val="8"/>
        </w:trPr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Б.1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эффективность контроля (надзора)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Экнд = Нт / Нп x 100%, где: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Экнд - эффективность контрольной (надзорной) деятельности (%);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Нт - количество нарушений, выявленных в текущем году (ед.);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Нп - количество нарушений, выявленных в прошлом году (ед.).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При установлении показателя необходимо учитывать, что снижение значений показателя должно предполагать повышение эффективности контрольной (надзорной) деятельности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gridSpan w:val="2"/>
            <w:tcW w:w="921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Индикативные показатели, характеризующие различные аспекты подконтрольной сферы и осуществления контроля (надзора)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В.1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gridSpan w:val="2"/>
            <w:tcW w:w="921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индикативные показатели, характеризующие непосредственное состояние подконтрольной сферы, в том числе уровень вмешательства в деятельность работодателей: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В.1.7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мероприятий, проведенных в отношении работодателей (объектов контроля) двух наименее опасных категорий риска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Дкнм = (Пкнм + ВПкнм) х 100% / Онкр, 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Дкнм – доля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контрольных (надзорных) мероприятий, проведенных в отношении работодателей (объектов контроля) двух наименее опасных категорий риска (%);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Пкнм – плановые контрольные (надзорные) мероприятия, проведенные в отношении работодателей двух наименее опасных категорий риска (ед.);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Вкнм – внеплановые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контрольные (надзорные) мероприятия, проведенные в отношении работодателей двух наименее опасных категорий риска (ед.);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ОКЛкнм – общее число работодателей двух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наименее опасных категорий риска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>
          <w:trHeight w:val="1512"/>
        </w:trPr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В.1.8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мероприятий, 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Дкнм = КНМ х 100% / Окнм, 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Дкнм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мероприятий, 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(%);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КНМ – количество проведенных контрольных (надзорных) мероприятий,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Окнм – общее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проведенных контрольных (надзорных) мероприятий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В.2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gridSpan w:val="2"/>
            <w:tcW w:w="921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индикативные показатели, характеризующие качество проводимых мероприятий, в том числе в части их направленности на устранение максимального объема потенциального вреда (ущерба) охраняемым законом ценностям: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В.2.1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проведенных мероприятий в отношении работодателей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none"/>
              </w:rPr>
              <w:t xml:space="preserve">Окнм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= Побщ + Ппм + Пбвр, где: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none"/>
              </w:rPr>
              <w:t xml:space="preserve">Окнм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– общее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проведенных мероприятий в отношении работодателей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(ед.);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Побщ – количество проведенных проверок в ходе осуществления контрольной (надзорной) деятельности (ед.);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Ппм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проведенных профилактических мероприятий в ходе осуществления контрольной (надзорной) деятельности (ед.);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none"/>
              </w:rPr>
              <w:t xml:space="preserve">Пбвр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мероприятий, проведенных без взаимодействия с работодателями в ходе осуществления контрольной (надзорной) деятельности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В.2.2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работодателей,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(надзорных) мероприятий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КЛобщ =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Пнар + Ппмнар + НМбр, 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КЛобщ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общее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работодателей,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none"/>
              </w:rPr>
              <w:t xml:space="preserve">Пнар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проведенных проверок в ходе которых выявлены нарушения у работодателей (ед.);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Ппмнар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проведенных профилактических мероприятий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в ходе которых выявлены нарушения у работодателей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none"/>
              </w:rPr>
              <w:t xml:space="preserve">Пбврнар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мероприятий, проведенных без взаимодействия с работодателями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в ходе которых выявлены нарушения у работодателей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gridSpan w:val="2"/>
            <w:tcW w:w="921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индикативные показатели, характеризующие параметры проведенных контрольными (надзорными) органами мероприятий: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gridSpan w:val="2"/>
            <w:tcW w:w="921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контрольные (надзорные) мероприятия: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В.3.1.1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общее количество проведенных контрольных (надзорных) мероприятий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Побщ = Пп + Пвп, где: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Побщ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(ед.);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Пп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плановых проверок в соответствии с ежегодным планом проведения плановых проверок юридических лиц и индивидуальных предпринимателей (далее - План) (ед.);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Пвп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внеплановых проверок (ед.).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Показатель может быть установлен в отношении каждого вида контрольного (надзорного) мероприятия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В.3.1.2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общее количество проведенных плановых контрольных (надзорных) мероприятий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В.3.1.3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общее количество проведенных внеплановых контрольных (надзорных) мероприятий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В.3.1.4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мероприятий, проведенных без взаимодействия с работодателями, от общего количества проведенных контрольных (надзорных) мероприятий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Мбвр = Пбвр х 100% / Окнм, 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Мбв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мероприятий, проведенных без взаимодействия с работодателями, от общего количества проведенных контрольных (надзорных) мероприятий (%);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Пбв – количество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контрольных (надзорных) мероприятий, проведенных без взаимодействия с работодателями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none"/>
              </w:rPr>
              <w:t xml:space="preserve">Окнм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– 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(ед.).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Показатель может быть установлен в отношении каждого вида контрольного (надзорного) мероприятия, проведенного со взаимодействием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none"/>
              </w:rPr>
              <w:t xml:space="preserve">работодателями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В.3.1.5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мероприятий, проведенных с использованием средств дистанционного взаимодействия, от общего количества проведенных контрольных (надзорных) мероприятий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МкндДВ = Мдв х 100% 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Окнм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, 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МкндДВ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контрольных (надзорных) мероприятий, проведенных с использованием средств дистанционного взаимодействия, от общего количества проведенных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(%);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Мдв – количество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контрольных (надзорных) мероприятий, проведенных с использованием средств дистанционного взаимодействия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Окнм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– 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В.3.1.6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 с взаимодействием с работодателями, проведенных с использованием государственной информационной системы «Типовое облачное решение по автоматизации контрольной (надзорной) деятельности» от общего количества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онтрольных (надзорных) мероприятий, проведенных с взаимодействием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none"/>
              </w:rPr>
              <w:t xml:space="preserve">работодателями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МкндТОР =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Мтор х 100% 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Окнм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, 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МкндДВ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 с взаимодействием с работодателями, проведенных с использованием государственной информационной системы «Типовое облачное решение по автоматизации контрольной (надзорной) деятельности» от общего количества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онтрольных (надзорных) мероприятий, проведенных с взаимодействием с работодателями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(%);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Мтор – количество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контрольных (надзорных) мероприятий с взаимодействием с работодателями, проведенных с использованием государственной информационной системы «Типовое облачное решение по автоматизации контрольной (надзорной) деятельности»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Окнм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– 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В.3.1.7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КНМвп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В.3.1.8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контрольных (надзорных) мероприятий, по результатам которых выявлены нарушения обязательных требований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КНМнот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контрольных (надзорных) мероприятий, по результатам которых выявлены нарушения обязательных требований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В.3.1.9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мероприятий, на результаты которых поданы жалобы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Дж = Кж / По x 100%, где: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Дж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мероприятий, на результаты которых поданы жалобы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(%);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Кж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проверок, по результатам которых поданы жалобы (ед.);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общее количество проведенных проверок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В.3.1.12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заявлений контрольных (надзорных) органов, направленных в органы прокуратуры, о согласовании проведения внеплановых контрольных (надзорных) мероприятий, в согласовании которых было отказано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Дз = Зотк х 100% / Зобщ, 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Дз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заявлений контрольных (надзорных) органов, направленных в органы прокуратуры, о согласовании проведения внеплановых контрольных (надзорных) мероприятий, в согласовании которых было отказано (%);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Зокт – количество заявлений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заявлений контрольных (надзорных) органов, направленных в органы прокуратуры, о согласовании проведения внеплановых контрольных (надзорных) мероприятий, в согласовании которых было отказано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Зобщ – 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заявлений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заявлений контрольных (надзорных) органов, направленных в органы прокуратуры, о согласовании проведения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В.3.1.13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мероприятий, результаты которых были признаны недействительными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Рнед = Пнед / По x 100%, где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Рнед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доля проверок, результаты которых были признаны недействительными (%);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Пнед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проверок, результаты которых были признаны недействительными (ед.);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общее количество проведенных проверок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В.3.1.14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оличество контрольных (надзорных) мероприятий, проведенных с нарушениями требований законодательства Российской Федерации, по результатам выявления которых к должностным лицам контрольных (надзорных) органов, проводившим такие контрольные (надзорные) мероп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риятия, применены меры дисциплинарного, административного наказания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Пнар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проверок, проведенных с нарушениями требований законодательства Российской Федерации о порядке их проведения, по результатам выявления которых к должностным лицам министерства, осуществившим такие проверки, применены меры дисциплинарного,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административного наказания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В.3.1.15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мероприятий, которые не удалось провести в связи с отсутствием работодателя по месту нахождения (жительства), указанному в государственных информационных ресурсах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ДПнет = Пнет 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Окнм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x 100%, где: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ДПнет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контрольных (надзорных) мероприятий, которые не удалось провести в связи с отсутствием работодателя по месту нахождения (жительства), указанному в государственных информационных ресурсах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(%);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контрольных (надзорных) мероприятий, которые не удалось провести в связи с отсутствием работодателя по месту нахождения (жительства), указанному в государственных информационных ресурсах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(ед.);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Окнм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общее количество проведенных проверок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В.3.1.23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среднее число должностных лиц, задействованных в проведении одного контрольного (надзорного) мероприятия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Чср = Чо / По, где: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Чср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среднее количество должностных лиц, задействованных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 проведении одного контрольного (надзорного) мероприятия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(чел.);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Чо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должностных лиц, участвовавших в проверках в отчетном году (чел.);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общее количество проведенных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онтрольных (надзорных) мероприятий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В.3.1.24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средняя продолжительность одного контрольного (надзорного) мероприятия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Пср = Пф 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Окнм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, 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Пср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средняя продолжительность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одного контрольного (надзорного) мероприятия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(рабочие дни);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Пф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суммарная продолжительность проведенных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исчисленная в рабочих днях (рабочие дни);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Окнм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В.3.2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gridSpan w:val="2"/>
            <w:tcW w:w="921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профилактические мероприятия: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В.3.2.1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проведенных профилактических мероприятий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Ппм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профилактических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В.3.2.2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работодателей, в отношении которых проведены профилактические мероприятия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КЛопм – общее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работодателей, в отношении которых проведены профилактические мероприятия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В.3.2.3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работодателей, в отношении которых были проведены обязательные профилактические визиты, от общего количества запланированных обязательных профилактических визитов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ДКЛпв =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ПВпров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х 100% 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ПВобщ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, где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ДКЛпв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работодателей, в отношении которых были проведены обязательные профилактические визиты, от общего количества запланированных обязательных профилактических визитов (%);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ПВпров – количество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работодателей, в отношении которых были проведены обязательные профилактические визиты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ПВобщ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– 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запланированных обязательных профилактических визитов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В.3.2.4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доля работодателей, в отношении которых проведены профилактические мероприятия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ДКЛпм = КЛпм х 100% / КЛобщ, 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ДКЛпм – доля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работодателей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, в отношении которых проведены профилактические мероприятия (%);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КЛпм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– количество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работодателей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, в отношении которых проведены профилактические мероприятия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КЛобщ – 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работодателей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В.3.2.6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средняя продолжительность одного профилактического мероприятия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ПМср = ПМф/ПМо, 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ПМср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средняя продолжительность одного профилактического мероприятия (рабочие дни)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ПМф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суммарная продолжительность проведенных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профилактических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исчисленная в рабочих днях (рабочие дни);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ПМо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профилактических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В.3.2.7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среднее число должностных лиц, задействованных в проведении одного профилактического мероприятия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ЧПМср = ЧПМо / ППМо, 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ЧПМср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среднее число должностных лиц, задействованных в проведении одного профилактического мероприятия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(чел.);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ЧПМо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количество должностных лиц, участвовавших в проведении профилактических мероприятий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отчетном году (чел.);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ППМо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профилактических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В.4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gridSpan w:val="2"/>
            <w:tcW w:w="921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индикативные показатели, характеризующие объем задействованных трудовых, материальных и финансовых ресурсов: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В.4.1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объем финансовых средств, выделяемых в отчетном периоде из бюджетов всех уровней на выполнение функций по контролю (надзору), в том числе на фонд оплаты труда, с учетом начислений, командировочных расходов, накладных расходов, прочих расходов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Фин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объем финансовых средств, выделяемых в отчетном периоде из бюджетов всех уровней на выполнение функций по контролю (надзору), в том числе на фонд оплаты труда, с учетом начислений, командировочных расходов, накладных расходов, прочих расходов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 (млн. руб.)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В.4.2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штатных единиц, всего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Шт – количество штатных единиц в министерстве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В.4.3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количество штатных единиц, в должностные обязанности которых входит выполнение контрольно-надзорных функций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33" w:lineRule="auto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3"/>
                <w:szCs w:val="23"/>
                <w:highlight w:val="white"/>
              </w:rPr>
              <w:t xml:space="preserve">Шкнд – количество штатных единиц, в должностные обязанности которых входит выполнение государственной функции по контролю (надзору) и за приемом на работу инвалидов в пределах установленной квоты (ед.)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highlight w:val="white"/>
        </w:rPr>
        <w:t xml:space="preserve">_________».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020" w:right="454" w:bottom="1020" w:left="1304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5"/>
    <w:next w:val="865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5"/>
    <w:next w:val="865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Title"/>
    <w:basedOn w:val="865"/>
    <w:next w:val="86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717"/>
    <w:uiPriority w:val="99"/>
  </w:style>
  <w:style w:type="table" w:styleId="721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No Spacing"/>
    <w:basedOn w:val="865"/>
    <w:uiPriority w:val="1"/>
    <w:qFormat/>
    <w:pPr>
      <w:spacing w:after="0" w:line="240" w:lineRule="auto"/>
    </w:pPr>
  </w:style>
  <w:style w:type="paragraph" w:styleId="869">
    <w:name w:val="List Paragraph"/>
    <w:basedOn w:val="865"/>
    <w:uiPriority w:val="34"/>
    <w:qFormat/>
    <w:pPr>
      <w:contextualSpacing/>
      <w:ind w:left="720"/>
    </w:pPr>
  </w:style>
  <w:style w:type="character" w:styleId="870" w:default="1">
    <w:name w:val="Default Paragraph Font"/>
    <w:uiPriority w:val="1"/>
    <w:semiHidden/>
    <w:unhideWhenUsed/>
  </w:style>
  <w:style w:type="paragraph" w:styleId="871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2025-06-05T03:21:45Z</dcterms:modified>
</cp:coreProperties>
</file>