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0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jc w:val="center"/>
        <w:spacing w:after="0" w:line="240" w:lineRule="auto"/>
        <w:tabs>
          <w:tab w:val="left" w:pos="708" w:leader="none"/>
          <w:tab w:val="center" w:pos="1134" w:leader="none"/>
          <w:tab w:val="right" w:pos="9355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 </w:t>
      </w:r>
      <w:r>
        <w:rPr>
          <w:rFonts w:ascii="Times New Roman" w:hAnsi="Times New Roman"/>
          <w:sz w:val="28"/>
          <w:szCs w:val="28"/>
        </w:rPr>
        <w:t xml:space="preserve">364</w:t>
      </w:r>
      <w:r>
        <w:rPr>
          <w:rFonts w:ascii="Times New Roman" w:hAnsi="Times New Roman"/>
          <w:sz w:val="28"/>
          <w:szCs w:val="28"/>
        </w:rPr>
        <w:t xml:space="preserve">-п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20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Федеральным законом от 31.07.2020 № 248-ФЗ «О государственном контроле (надзоре) и муниципальном контроле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64</w:t>
      </w:r>
      <w:r>
        <w:rPr>
          <w:rFonts w:ascii="Times New Roman" w:hAnsi="Times New Roman" w:cs="Times New Roman"/>
          <w:sz w:val="28"/>
          <w:szCs w:val="28"/>
        </w:rPr>
        <w:t xml:space="preserve"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Положении о региональном государственном контроле (надзоре) за приемом на работу инвалидов в пределах установленной квоты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следующи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В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оложении о региональном государственном контроле (надзоре) за приемом на работу инвалидов в пределах установленной квоты: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пункт 14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ерии риска учитывают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учитывают добросовестность работодателей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пункт 18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«18. Работодатель, в том числе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использованием федеральной государственной информационной системы «Единый портал государственных и муниципальных услуг» (далее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единый портал государственных и муниципальных усл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уг)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вправе подать в Министерство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заявление об изменении категории риска объекта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его соответствия критериям риска для отнесения к иной категории риска.»;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в пункте 22 слова «ежегодно до 20 декабря» заменить словами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 20 декабря»;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 пункт 25 дополнить подпунктом 7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«7) меры стимулирование добросовестности.»;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пункт 30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«Одновременно с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редостережением работодателю в целях проведения им самообсле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дования соблюдения обязательных требований направляется адрес официального сайта Министерства в сети «Интернет», позволяющий пройти самообследование соблюдения обязательных требований.»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пункта 52.6 дополнить пунктом 52.7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«52.7. В целях мотивации работодателей к соблюдению обязательных требований Министерство проводит мероприятия, направленные на нематери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альное поощрение добросовестных работодателей (далее – меры стимулирования добросовестности).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Информация о применяемых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мерах стимулирования добросовестности, порядок и условия применения соответствующих мер, в том числе методики и критерии оценки добросовестности работодателей, размещаются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сайте Министерства в сети «Интернет»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ценка добросовестности работодателей учитывается при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определении критериев риска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проводится с учетом следующих критериев добросовестности: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20"/>
        <w:jc w:val="both"/>
        <w:spacing w:line="238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реализации работодателем мероприятий по снижению риска причинения вреда (ущерба) и предотвращению вреда (ущерба) охраняемым законом ценностям;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отсутствия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на протяжении трех лет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Меры стимулирования добросовестности, признанного соответствующим критериям добросовестности, осуществляется в виде понижения категории риска объекта контроля на одну категорию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изменении категории риска объекта контроля, признанного соответствующим критериям добросовестности, принимается Министерством в течение пяти рабочих дней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поступления сведений о соответствии объекта контроля критериям риска иной категории риска либо об изменении критериев риска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изменении категории риска объекта контроля утверждается министром.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 пункт 86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«86. Структура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ключевых показателей состоит из показателей группы «А» и показателей групп «Б» и «В»: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показатели группы «А» являются ключевыми показателями и отражают уровень безопасности охраняемых законом ценностей, выражающийся в минимизации причинения им вреда (ущерба);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показатели группы «Б» являются индикативными показателями характеризуют соотношение между степенью устранения риска причинения вреда (ущерба) охраняемым законом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ценностям и объемом трудовых, материальных и финансовых ресурсов и издержек работодателей, при осуществлении в отношении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них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показатели группы «В» являются индикативными показателями, характеризующими различные аспекты подконтрольной сферы и осуществления контроля (надзора). Показатели группы «В» подразделяются на следующие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подгруппы: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 «В.1» – индикативные показатели,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характеризующие непосредственное состояние подконтрольной сферы, в том числе уровень вмешательства в деятельность работодателей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 «В.2»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индикативные показатели,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характеризующие качество проводимых мероприятий, в том числе в части их направленности на устранение максимального объема потенциального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 «В.3»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характеризующие параметры проведенных контрольными (надзорными) органами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г) «В.4»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характеризующие объем задействованных трудовых, материальных и финансовых ресурсов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Приложение «</w:t>
      </w:r>
      <w:r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регионального государственного контроля (надзора) за приемом на работу инвалидов в пределах установленной квоты» изложить в редакции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Новосибирской области</w:t>
        <w:tab/>
        <w:tab/>
      </w:r>
      <w:r>
        <w:rPr>
          <w:rFonts w:ascii="Times New Roman" w:hAnsi="Times New Roman"/>
          <w:sz w:val="28"/>
          <w:szCs w:val="28"/>
        </w:rPr>
        <w:t xml:space="preserve"> </w:t>
        <w:tab/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920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9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0"/>
        <w:spacing w:after="0" w:line="240" w:lineRule="auto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/>
          <w:szCs w:val="28"/>
        </w:rPr>
        <w:br w:type="page" w:clear="all"/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sz w:val="27"/>
          <w:szCs w:val="27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pStyle w:val="920"/>
        <w:spacing w:after="0" w:line="240" w:lineRule="auto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</w:rPr>
      </w:r>
      <w:r>
        <w:rPr>
          <w:rFonts w:ascii="Times New Roman" w:hAnsi="Times New Roman" w:eastAsia="Times New Roman"/>
          <w:sz w:val="27"/>
          <w:szCs w:val="27"/>
        </w:rPr>
      </w:r>
    </w:p>
    <w:p>
      <w:pPr>
        <w:pStyle w:val="920"/>
        <w:spacing w:after="0" w:line="240" w:lineRule="auto"/>
        <w:rPr>
          <w:rFonts w:ascii="Times New Roman" w:hAnsi="Times New Roman" w:eastAsia="Times New Roman"/>
          <w:sz w:val="27"/>
          <w:szCs w:val="27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</w:rPr>
      </w:r>
      <w:r>
        <w:rPr>
          <w:rFonts w:ascii="Times New Roman" w:hAnsi="Times New Roman" w:eastAsia="Times New Roman"/>
          <w:sz w:val="27"/>
          <w:szCs w:val="27"/>
        </w:rPr>
      </w:r>
    </w:p>
    <w:tbl>
      <w:tblPr>
        <w:tblW w:w="960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544"/>
      </w:tblGrid>
      <w:tr>
        <w:tblPrEx/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Первый заместитель Губернатора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Ю.Ф. Петухов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blPrEx/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Заместитель Губернатора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both"/>
              <w:spacing w:after="0" w:line="240" w:lineRule="auto"/>
              <w:tabs>
                <w:tab w:val="left" w:pos="1140" w:leader="none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jc w:val="right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highlight w:val="white"/>
              </w:rPr>
              <w:t xml:space="preserve">К.В. Хальзов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blPrEx/>
        <w:trPr>
          <w:trHeight w:val="101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20"/>
              <w:ind w:right="1514"/>
              <w:jc w:val="both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М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инистр юстиции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Т.Н. Деркач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blPrEx/>
        <w:trPr>
          <w:trHeight w:val="99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20"/>
              <w:ind w:right="1514"/>
              <w:jc w:val="both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Л.Н. Решетников</w:t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blPrEx/>
        <w:trPr>
          <w:trHeight w:val="127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Е.В. Бахарева</w:t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«___» ________ 202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7"/>
                <w:szCs w:val="27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/>
                <w:sz w:val="27"/>
                <w:szCs w:val="27"/>
              </w:rPr>
            </w:r>
          </w:p>
        </w:tc>
      </w:tr>
    </w:tbl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20"/>
              <w:jc w:val="both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 xml:space="preserve">Н</w:t>
            </w:r>
            <w:r>
              <w:rPr>
                <w:rFonts w:ascii="Times New Roman" w:hAnsi="Times New Roman"/>
                <w:szCs w:val="24"/>
              </w:rPr>
              <w:t xml:space="preserve">ачальник</w:t>
            </w:r>
            <w:r>
              <w:rPr>
                <w:rFonts w:ascii="Times New Roman" w:hAnsi="Times New Roman"/>
                <w:szCs w:val="24"/>
              </w:rPr>
              <w:t xml:space="preserve"> правового</w:t>
            </w:r>
            <w:r>
              <w:rPr>
                <w:rFonts w:ascii="Times New Roman" w:hAnsi="Times New Roman"/>
                <w:szCs w:val="24"/>
              </w:rPr>
              <w:t xml:space="preserve"> управления </w:t>
            </w:r>
            <w:r>
              <w:rPr>
                <w:rFonts w:ascii="Times New Roman" w:hAnsi="Times New Roman"/>
                <w:szCs w:val="20"/>
              </w:rPr>
            </w:r>
            <w:r>
              <w:rPr>
                <w:rFonts w:ascii="Times New Roman" w:hAnsi="Times New Roman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</w:rPr>
              <w:t xml:space="preserve">Е.В. Нарубина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  <w:tr>
        <w:tblPrEx/>
        <w:trPr>
          <w:trHeight w:val="5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20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Начальник управления занятости населения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  <w:t xml:space="preserve">О.И. Лаврова</w:t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  <w:p>
            <w:pPr>
              <w:pStyle w:val="920"/>
              <w:jc w:val="right"/>
              <w:spacing w:after="0" w:line="240" w:lineRule="auto"/>
              <w:rPr>
                <w:rFonts w:ascii="Times New Roman" w:hAnsi="Times New Roman" w:eastAsia="Times New Roman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Cs w:val="20"/>
                <w:lang w:eastAsia="ru-RU"/>
              </w:rPr>
            </w:r>
          </w:p>
        </w:tc>
      </w:tr>
    </w:tbl>
    <w:p>
      <w:pPr>
        <w:pStyle w:val="920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92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2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2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2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20"/>
        <w:spacing w:after="0"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pStyle w:val="92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Н.Ю. Медведева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</w:t>
      </w:r>
      <w:r>
        <w:rPr>
          <w:rFonts w:ascii="Times New Roman" w:hAnsi="Times New Roman"/>
          <w:sz w:val="20"/>
          <w:szCs w:val="20"/>
        </w:rPr>
        <w:t xml:space="preserve">88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2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7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487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8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7"/>
  </w:num>
  <w:num w:numId="3">
    <w:abstractNumId w:val="3"/>
  </w:num>
  <w:num w:numId="4">
    <w:abstractNumId w:val="13"/>
  </w:num>
  <w:num w:numId="5">
    <w:abstractNumId w:val="16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4"/>
  </w:num>
  <w:num w:numId="11">
    <w:abstractNumId w:val="15"/>
  </w:num>
  <w:num w:numId="12">
    <w:abstractNumId w:val="21"/>
  </w:num>
  <w:num w:numId="13">
    <w:abstractNumId w:val="9"/>
  </w:num>
  <w:num w:numId="14">
    <w:abstractNumId w:val="8"/>
  </w:num>
  <w:num w:numId="15">
    <w:abstractNumId w:val="11"/>
  </w:num>
  <w:num w:numId="16">
    <w:abstractNumId w:val="17"/>
  </w:num>
  <w:num w:numId="17">
    <w:abstractNumId w:val="22"/>
  </w:num>
  <w:num w:numId="18">
    <w:abstractNumId w:val="0"/>
  </w:num>
  <w:num w:numId="19">
    <w:abstractNumId w:val="5"/>
  </w:num>
  <w:num w:numId="20">
    <w:abstractNumId w:val="1"/>
  </w:num>
  <w:num w:numId="21">
    <w:abstractNumId w:val="19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20"/>
    <w:next w:val="920"/>
    <w:link w:val="7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link w:val="742"/>
    <w:uiPriority w:val="9"/>
    <w:rPr>
      <w:rFonts w:ascii="Arial" w:hAnsi="Arial" w:eastAsia="Arial" w:cs="Arial"/>
      <w:sz w:val="40"/>
      <w:szCs w:val="40"/>
    </w:rPr>
  </w:style>
  <w:style w:type="paragraph" w:styleId="744">
    <w:name w:val="Heading 2"/>
    <w:basedOn w:val="920"/>
    <w:next w:val="920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link w:val="744"/>
    <w:uiPriority w:val="9"/>
    <w:rPr>
      <w:rFonts w:ascii="Arial" w:hAnsi="Arial" w:eastAsia="Arial" w:cs="Arial"/>
      <w:sz w:val="34"/>
    </w:rPr>
  </w:style>
  <w:style w:type="paragraph" w:styleId="746">
    <w:name w:val="Heading 3"/>
    <w:basedOn w:val="920"/>
    <w:next w:val="920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link w:val="746"/>
    <w:uiPriority w:val="9"/>
    <w:rPr>
      <w:rFonts w:ascii="Arial" w:hAnsi="Arial" w:eastAsia="Arial" w:cs="Arial"/>
      <w:sz w:val="30"/>
      <w:szCs w:val="30"/>
    </w:rPr>
  </w:style>
  <w:style w:type="paragraph" w:styleId="748">
    <w:name w:val="Heading 4"/>
    <w:basedOn w:val="920"/>
    <w:next w:val="920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link w:val="748"/>
    <w:uiPriority w:val="9"/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20"/>
    <w:next w:val="920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link w:val="750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20"/>
    <w:next w:val="920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20"/>
    <w:next w:val="920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20"/>
    <w:next w:val="920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20"/>
    <w:next w:val="920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20"/>
    <w:uiPriority w:val="34"/>
    <w:qFormat/>
    <w:pPr>
      <w:contextualSpacing/>
      <w:ind w:left="720"/>
    </w:p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20"/>
    <w:next w:val="920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link w:val="762"/>
    <w:uiPriority w:val="10"/>
    <w:rPr>
      <w:sz w:val="48"/>
      <w:szCs w:val="48"/>
    </w:rPr>
  </w:style>
  <w:style w:type="paragraph" w:styleId="764">
    <w:name w:val="Subtitle"/>
    <w:basedOn w:val="920"/>
    <w:next w:val="920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link w:val="764"/>
    <w:uiPriority w:val="11"/>
    <w:rPr>
      <w:sz w:val="24"/>
      <w:szCs w:val="24"/>
    </w:rPr>
  </w:style>
  <w:style w:type="paragraph" w:styleId="766">
    <w:name w:val="Quote"/>
    <w:basedOn w:val="920"/>
    <w:next w:val="920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20"/>
    <w:next w:val="920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20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link w:val="770"/>
    <w:uiPriority w:val="99"/>
  </w:style>
  <w:style w:type="paragraph" w:styleId="772">
    <w:name w:val="Footer"/>
    <w:basedOn w:val="920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Footer Char"/>
    <w:link w:val="772"/>
    <w:uiPriority w:val="99"/>
  </w:style>
  <w:style w:type="paragraph" w:styleId="774">
    <w:name w:val="Caption"/>
    <w:basedOn w:val="920"/>
    <w:next w:val="9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5">
    <w:name w:val="Caption Char"/>
    <w:basedOn w:val="774"/>
    <w:link w:val="772"/>
    <w:uiPriority w:val="99"/>
  </w:style>
  <w:style w:type="table" w:styleId="7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next w:val="920"/>
    <w:link w:val="92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21">
    <w:name w:val="Основной шрифт абзаца"/>
    <w:next w:val="921"/>
    <w:link w:val="920"/>
    <w:uiPriority w:val="1"/>
    <w:semiHidden/>
    <w:unhideWhenUsed/>
  </w:style>
  <w:style w:type="table" w:styleId="922">
    <w:name w:val="Обычная таблица"/>
    <w:next w:val="922"/>
    <w:link w:val="920"/>
    <w:uiPriority w:val="99"/>
    <w:semiHidden/>
    <w:unhideWhenUsed/>
    <w:tblPr/>
  </w:style>
  <w:style w:type="numbering" w:styleId="923">
    <w:name w:val="Нет списка"/>
    <w:next w:val="923"/>
    <w:link w:val="920"/>
    <w:uiPriority w:val="99"/>
    <w:semiHidden/>
    <w:unhideWhenUsed/>
  </w:style>
  <w:style w:type="paragraph" w:styleId="924">
    <w:name w:val="Абзац списка"/>
    <w:basedOn w:val="920"/>
    <w:next w:val="924"/>
    <w:link w:val="920"/>
    <w:uiPriority w:val="34"/>
    <w:qFormat/>
    <w:pPr>
      <w:contextualSpacing/>
      <w:ind w:left="720"/>
    </w:pPr>
  </w:style>
  <w:style w:type="paragraph" w:styleId="925">
    <w:name w:val="Текст сноски"/>
    <w:basedOn w:val="920"/>
    <w:next w:val="925"/>
    <w:link w:val="926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6">
    <w:name w:val="Текст сноски Знак"/>
    <w:next w:val="926"/>
    <w:link w:val="92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7">
    <w:name w:val="Нижний колонтитул"/>
    <w:basedOn w:val="920"/>
    <w:next w:val="927"/>
    <w:link w:val="9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8">
    <w:name w:val="Нижний колонтитул Знак"/>
    <w:basedOn w:val="921"/>
    <w:next w:val="928"/>
    <w:link w:val="927"/>
    <w:uiPriority w:val="99"/>
  </w:style>
  <w:style w:type="paragraph" w:styleId="929">
    <w:name w:val="Верхний колонтитул"/>
    <w:basedOn w:val="920"/>
    <w:next w:val="929"/>
    <w:link w:val="93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0">
    <w:name w:val="Верхний колонтитул Знак"/>
    <w:basedOn w:val="921"/>
    <w:next w:val="930"/>
    <w:link w:val="929"/>
    <w:uiPriority w:val="99"/>
  </w:style>
  <w:style w:type="table" w:styleId="931">
    <w:name w:val="Сетка таблицы"/>
    <w:basedOn w:val="922"/>
    <w:next w:val="931"/>
    <w:link w:val="920"/>
    <w:uiPriority w:val="59"/>
    <w:pPr>
      <w:spacing w:after="0" w:line="240" w:lineRule="auto"/>
    </w:pPr>
    <w:tblPr/>
  </w:style>
  <w:style w:type="paragraph" w:styleId="932">
    <w:name w:val="Текст выноски"/>
    <w:basedOn w:val="920"/>
    <w:next w:val="932"/>
    <w:link w:val="93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3">
    <w:name w:val="Текст выноски Знак"/>
    <w:next w:val="933"/>
    <w:link w:val="932"/>
    <w:uiPriority w:val="99"/>
    <w:semiHidden/>
    <w:rPr>
      <w:rFonts w:ascii="Tahoma" w:hAnsi="Tahoma" w:cs="Tahoma"/>
      <w:sz w:val="16"/>
      <w:szCs w:val="16"/>
    </w:rPr>
  </w:style>
  <w:style w:type="paragraph" w:styleId="934">
    <w:name w:val="ConsPlusTitle"/>
    <w:next w:val="934"/>
    <w:link w:val="920"/>
    <w:uiPriority w:val="9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935">
    <w:name w:val="Основной текст с отступом"/>
    <w:basedOn w:val="920"/>
    <w:next w:val="935"/>
    <w:link w:val="936"/>
    <w:uiPriority w:val="99"/>
    <w:unhideWhenUsed/>
    <w:pPr>
      <w:ind w:left="283"/>
      <w:spacing w:after="120"/>
    </w:pPr>
    <w:rPr>
      <w:rFonts w:ascii="Calibri" w:hAnsi="Calibri" w:eastAsia="Times New Roman" w:cs="Times New Roman"/>
    </w:rPr>
  </w:style>
  <w:style w:type="character" w:styleId="936">
    <w:name w:val="Основной текст с отступом Знак"/>
    <w:next w:val="936"/>
    <w:link w:val="935"/>
    <w:uiPriority w:val="99"/>
    <w:rPr>
      <w:rFonts w:ascii="Calibri" w:hAnsi="Calibri" w:eastAsia="Times New Roman" w:cs="Times New Roman"/>
    </w:rPr>
  </w:style>
  <w:style w:type="character" w:styleId="937">
    <w:name w:val="Гиперссылка"/>
    <w:next w:val="937"/>
    <w:link w:val="920"/>
    <w:uiPriority w:val="99"/>
    <w:unhideWhenUsed/>
    <w:rPr>
      <w:rFonts w:cs="Times New Roman"/>
      <w:color w:val="0000ff"/>
      <w:u w:val="single"/>
    </w:rPr>
  </w:style>
  <w:style w:type="paragraph" w:styleId="938">
    <w:name w:val="ConsPlusNonformat"/>
    <w:next w:val="938"/>
    <w:link w:val="92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39">
    <w:name w:val="Текст"/>
    <w:basedOn w:val="920"/>
    <w:next w:val="939"/>
    <w:link w:val="940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940">
    <w:name w:val="Текст Знак"/>
    <w:next w:val="940"/>
    <w:link w:val="939"/>
    <w:uiPriority w:val="99"/>
    <w:semiHidden/>
    <w:rPr>
      <w:rFonts w:ascii="Calibri" w:hAnsi="Calibri"/>
      <w:szCs w:val="21"/>
    </w:rPr>
  </w:style>
  <w:style w:type="paragraph" w:styleId="941">
    <w:name w:val="ConsPlusNormal"/>
    <w:next w:val="941"/>
    <w:link w:val="942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42">
    <w:name w:val="ConsPlusNormal Знак"/>
    <w:next w:val="942"/>
    <w:link w:val="941"/>
    <w:rPr>
      <w:rFonts w:ascii="Arial" w:hAnsi="Arial" w:eastAsia="Times New Roman" w:cs="Arial"/>
      <w:sz w:val="20"/>
      <w:szCs w:val="20"/>
      <w:lang w:eastAsia="ru-RU"/>
    </w:rPr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минтруд Новосибирской области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revision>11</cp:revision>
  <dcterms:created xsi:type="dcterms:W3CDTF">2023-06-28T07:41:00Z</dcterms:created>
  <dcterms:modified xsi:type="dcterms:W3CDTF">2025-06-03T05:24:26Z</dcterms:modified>
  <cp:version>917504</cp:version>
</cp:coreProperties>
</file>