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00" w:firstRow="0" w:lastRow="0" w:firstColumn="0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blPrEx/>
        <w:tc>
          <w:tcPr>
            <w:tcW w:w="9889" w:type="dxa"/>
            <w:gridSpan w:val="4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1356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9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65"/>
        <w:jc w:val="center"/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</w:t>
      </w:r>
      <w:r>
        <w:rPr>
          <w:rFonts w:ascii="Times New Roman" w:hAnsi="Times New Roman"/>
          <w:sz w:val="28"/>
          <w:szCs w:val="28"/>
        </w:rPr>
        <w:t xml:space="preserve">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 xml:space="preserve">министерств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20.01.2021 № 31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7"/>
        <w:tabs>
          <w:tab w:val="left" w:pos="4962" w:leader="none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</w:t>
      </w:r>
      <w:r>
        <w:rPr>
          <w:rFonts w:ascii="Times New Roman" w:hAnsi="Times New Roman"/>
          <w:sz w:val="28"/>
          <w:szCs w:val="28"/>
        </w:rPr>
        <w:t xml:space="preserve">министерств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20.01.2021 № 31 «О создании комиссии» следующ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е изменени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приложение № 1 «С</w:t>
      </w:r>
      <w:r>
        <w:rPr>
          <w:rFonts w:ascii="Times New Roman" w:hAnsi="Times New Roman"/>
          <w:sz w:val="28"/>
          <w:szCs w:val="28"/>
        </w:rPr>
        <w:t xml:space="preserve">остав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распределению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труда и социальног</w:t>
      </w:r>
      <w:r>
        <w:rPr>
          <w:rFonts w:ascii="Times New Roman" w:hAnsi="Times New Roman"/>
          <w:sz w:val="28"/>
          <w:szCs w:val="28"/>
        </w:rPr>
        <w:t xml:space="preserve">о развития Новосибирской области, на иные цели (не связанные с выполнением ими государственного задания, не относящиеся к публичным обязательствам перед физическим лицом, подлежащим исполнению в денежной форме, а также к осуществлению бюджетных инвестиций)</w:t>
      </w:r>
      <w:r>
        <w:rPr>
          <w:rFonts w:ascii="Times New Roman" w:hAnsi="Times New Roman"/>
          <w:sz w:val="28"/>
          <w:szCs w:val="28"/>
        </w:rPr>
        <w:t xml:space="preserve">» изложить </w:t>
      </w:r>
      <w:r>
        <w:rPr>
          <w:rFonts w:ascii="Times New Roman" w:hAnsi="Times New Roman"/>
          <w:sz w:val="28"/>
          <w:szCs w:val="28"/>
        </w:rPr>
        <w:t xml:space="preserve">в редакции согласно </w:t>
      </w:r>
      <w:hyperlink w:tooltip="#P43" w:anchor="P43" w:history="1">
        <w:r>
          <w:rPr>
            <w:rFonts w:ascii="Times New Roman" w:hAnsi="Times New Roman"/>
            <w:sz w:val="28"/>
            <w:szCs w:val="28"/>
          </w:rPr>
          <w:t xml:space="preserve">приложению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настоящему приказу.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</w:t>
      </w:r>
      <w:r>
        <w:rPr>
          <w:rFonts w:ascii="Times New Roman" w:hAnsi="Times New Roman"/>
          <w:sz w:val="28"/>
          <w:szCs w:val="28"/>
        </w:rPr>
        <w:t xml:space="preserve">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НПА</w:t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tabs>
          <w:tab w:val="left" w:pos="8114" w:leader="none"/>
          <w:tab w:val="right" w:pos="9781" w:leader="none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приказу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министерства</w:t>
      </w:r>
      <w:r>
        <w:rPr>
          <w:rFonts w:ascii="Times New Roman" w:hAnsi="Times New Roman"/>
          <w:sz w:val="28"/>
          <w:szCs w:val="28"/>
        </w:rPr>
        <w:t xml:space="preserve"> труда и социального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tabs>
          <w:tab w:val="left" w:pos="142" w:leader="none"/>
          <w:tab w:val="left" w:pos="6379" w:leader="none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____________  № 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tabs>
          <w:tab w:val="left" w:pos="142" w:leader="none"/>
          <w:tab w:val="left" w:pos="6379" w:leader="none"/>
          <w:tab w:val="left" w:pos="9072" w:leader="none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 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приказу министерства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</w:t>
      </w:r>
      <w:r>
        <w:rPr>
          <w:rFonts w:ascii="Times New Roman" w:hAnsi="Times New Roman"/>
          <w:sz w:val="28"/>
          <w:szCs w:val="28"/>
        </w:rPr>
        <w:t xml:space="preserve"> и социального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20.01.2021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 xml:space="preserve">31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tabs>
          <w:tab w:val="left" w:pos="142" w:leader="none"/>
          <w:tab w:val="left" w:pos="6237" w:leader="none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</w:t>
      </w:r>
      <w:r>
        <w:rPr>
          <w:rFonts w:ascii="Times New Roman" w:hAnsi="Times New Roman"/>
          <w:b/>
          <w:sz w:val="28"/>
          <w:szCs w:val="28"/>
        </w:rPr>
        <w:t xml:space="preserve"> по распределению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труда и социальног</w:t>
      </w:r>
      <w:r>
        <w:rPr>
          <w:rFonts w:ascii="Times New Roman" w:hAnsi="Times New Roman"/>
          <w:b/>
          <w:sz w:val="28"/>
          <w:szCs w:val="28"/>
        </w:rPr>
        <w:t xml:space="preserve">о развития Новосибирской области, на иные цели (не связанные с выполнением ими государственного задания, не относящиеся к публичным обязательствам перед физическим лицом, подлежащим исполнению в денежной форме, а также к осуществлению бюджетных инвестиций)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71"/>
        <w:tblW w:w="1003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283"/>
        <w:gridCol w:w="6096"/>
      </w:tblGrid>
      <w:tr>
        <w:trPr>
          <w:trHeight w:val="1060"/>
        </w:trPr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Москалева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Михайловна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noWrap w:val="false"/>
            <w:textDirection w:val="lrTb"/>
          </w:tcPr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министра труда и социального развития Новосибирской области, председатель комиссии;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32"/>
        </w:trPr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Машанов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noWrap w:val="false"/>
            <w:textDirection w:val="lrTb"/>
          </w:tcPr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министра труда и социального развития Новосибирской области, заместитель председателя комиссии;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Лебединская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Сергеевна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noWrap w:val="false"/>
            <w:textDirection w:val="lrTb"/>
          </w:tcPr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области, секретарь комиссии;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Жердецкая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Валерьевна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noWrap w:val="false"/>
            <w:textDirection w:val="lrTb"/>
          </w:tcPr>
          <w:p>
            <w:pPr>
              <w:tabs>
                <w:tab w:val="left" w:pos="4685" w:leader="none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 отдела опеки и попечительства управления семейной политики и защиты прав детей министерства труда 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                            развития 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Журин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Валентинович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noWrap w:val="false"/>
            <w:textDirection w:val="lrTb"/>
          </w:tcPr>
          <w:p>
            <w:pPr>
              <w:ind w:left="-1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Кузьмина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Леонидовна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noWrap w:val="false"/>
            <w:textDirection w:val="lrTb"/>
          </w:tcPr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3651" w:type="dxa"/>
            <w:vMerge w:val="restart"/>
            <w:noWrap w:val="false"/>
            <w:textDirection w:val="lrTb"/>
          </w:tcPr>
          <w:p>
            <w:pPr>
              <w:spacing w:after="0" w:afterAutospacing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Кустаровская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83" w:lineRule="exac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Марина Витальевна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spacing w:after="0" w:afterAutospacing="0" w:line="283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начальник отдела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организации работы учреждений социального обслуживания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Марущак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Евгения Борисовна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noWrap w:val="false"/>
            <w:textDirection w:val="lrTb"/>
          </w:tcPr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Медведев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noWrap w:val="false"/>
            <w:textDirection w:val="lrTb"/>
          </w:tcPr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- начальник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Нифонтова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Анастасия Анатольевна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noWrap w:val="false"/>
            <w:textDirection w:val="lrTb"/>
          </w:tcPr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Перкова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Валерьевна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noWrap w:val="false"/>
            <w:textDirection w:val="lrTb"/>
          </w:tcPr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области;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Савченко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noWrap w:val="false"/>
            <w:textDirection w:val="lrTb"/>
          </w:tcPr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комплексного анализа и социального проектирования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3651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Хомченко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Викторовна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/>
                <w:sz w:val="20"/>
              </w:rPr>
              <w:t xml:space="preserve">–</w:t>
            </w:r>
          </w:p>
        </w:tc>
        <w:tc>
          <w:tcPr>
            <w:tcW w:w="6096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4"/>
              </w:rPr>
              <w:t xml:space="preserve">по вопросам семьи, материнства и детства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семейной политики и защиты прав детей министерства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81"/>
        <w:tabs>
          <w:tab w:val="left" w:pos="8114" w:leader="none"/>
          <w:tab w:val="right" w:pos="9921" w:leader="none"/>
        </w:tabs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_________».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81"/>
        <w:tabs>
          <w:tab w:val="left" w:pos="142" w:leader="none"/>
        </w:tabs>
        <w:spacing w:after="0" w:line="240" w:lineRule="auto"/>
        <w:ind w:left="0"/>
      </w:pPr>
    </w:p>
    <w:sectPr>
      <w:headerReference w:type="default" r:id="rId8"/>
      <w:headerReference w:type="first" r:id="rId9"/>
      <w:footerReference w:type="first" r:id="rId10"/>
      <w:footnotePr/>
      <w:endnotePr/>
      <w:type w:val="continuous"/>
      <w:pgSz w:w="11906" w:h="16838" w:orient="portrait"/>
      <w:pgMar w:top="1134" w:right="567" w:bottom="1134" w:left="1418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</w:p>
  <w:p>
    <w:pPr>
      <w:pStyle w:val="87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3"/>
    <w:next w:val="863"/>
    <w:link w:val="69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6"/>
    <w:link w:val="691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866"/>
    <w:link w:val="864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3"/>
    <w:next w:val="863"/>
    <w:link w:val="69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6"/>
    <w:link w:val="694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866"/>
    <w:link w:val="86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3"/>
    <w:next w:val="863"/>
    <w:link w:val="69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6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3"/>
    <w:next w:val="863"/>
    <w:link w:val="70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6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3"/>
    <w:next w:val="863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6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3"/>
    <w:next w:val="863"/>
    <w:link w:val="70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6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3"/>
    <w:next w:val="863"/>
    <w:link w:val="70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3"/>
    <w:uiPriority w:val="34"/>
    <w:qFormat/>
    <w:pPr>
      <w:ind w:left="720"/>
      <w:contextualSpacing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3"/>
    <w:next w:val="863"/>
    <w:link w:val="71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0">
    <w:name w:val="Title Char"/>
    <w:basedOn w:val="866"/>
    <w:link w:val="709"/>
    <w:uiPriority w:val="10"/>
    <w:rPr>
      <w:sz w:val="48"/>
      <w:szCs w:val="48"/>
    </w:rPr>
  </w:style>
  <w:style w:type="paragraph" w:styleId="711">
    <w:name w:val="Subtitle"/>
    <w:basedOn w:val="863"/>
    <w:next w:val="863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6"/>
    <w:link w:val="711"/>
    <w:uiPriority w:val="11"/>
    <w:rPr>
      <w:sz w:val="24"/>
      <w:szCs w:val="24"/>
    </w:rPr>
  </w:style>
  <w:style w:type="paragraph" w:styleId="713">
    <w:name w:val="Quote"/>
    <w:basedOn w:val="863"/>
    <w:next w:val="863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3"/>
    <w:next w:val="863"/>
    <w:link w:val="71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6"/>
    <w:link w:val="873"/>
    <w:uiPriority w:val="99"/>
  </w:style>
  <w:style w:type="character" w:styleId="718">
    <w:name w:val="Footer Char"/>
    <w:basedOn w:val="866"/>
    <w:link w:val="878"/>
    <w:uiPriority w:val="99"/>
  </w:style>
  <w:style w:type="paragraph" w:styleId="719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78"/>
    <w:uiPriority w:val="99"/>
  </w:style>
  <w:style w:type="table" w:styleId="721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6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7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8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9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0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1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2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6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6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spacing w:after="57"/>
      <w:ind w:left="0" w:right="0" w:firstLine="0"/>
    </w:pPr>
  </w:style>
  <w:style w:type="paragraph" w:styleId="853">
    <w:name w:val="toc 2"/>
    <w:basedOn w:val="863"/>
    <w:next w:val="863"/>
    <w:uiPriority w:val="39"/>
    <w:unhideWhenUsed/>
    <w:pPr>
      <w:spacing w:after="57"/>
      <w:ind w:left="283" w:right="0" w:firstLine="0"/>
    </w:pPr>
  </w:style>
  <w:style w:type="paragraph" w:styleId="854">
    <w:name w:val="toc 3"/>
    <w:basedOn w:val="863"/>
    <w:next w:val="863"/>
    <w:uiPriority w:val="39"/>
    <w:unhideWhenUsed/>
    <w:pPr>
      <w:spacing w:after="57"/>
      <w:ind w:left="567" w:right="0" w:firstLine="0"/>
    </w:pPr>
  </w:style>
  <w:style w:type="paragraph" w:styleId="855">
    <w:name w:val="toc 4"/>
    <w:basedOn w:val="863"/>
    <w:next w:val="863"/>
    <w:uiPriority w:val="39"/>
    <w:unhideWhenUsed/>
    <w:pPr>
      <w:spacing w:after="57"/>
      <w:ind w:left="850" w:right="0" w:firstLine="0"/>
    </w:pPr>
  </w:style>
  <w:style w:type="paragraph" w:styleId="856">
    <w:name w:val="toc 5"/>
    <w:basedOn w:val="863"/>
    <w:next w:val="863"/>
    <w:uiPriority w:val="39"/>
    <w:unhideWhenUsed/>
    <w:pPr>
      <w:spacing w:after="57"/>
      <w:ind w:left="1134" w:right="0" w:firstLine="0"/>
    </w:pPr>
  </w:style>
  <w:style w:type="paragraph" w:styleId="857">
    <w:name w:val="toc 6"/>
    <w:basedOn w:val="863"/>
    <w:next w:val="863"/>
    <w:uiPriority w:val="39"/>
    <w:unhideWhenUsed/>
    <w:pPr>
      <w:spacing w:after="57"/>
      <w:ind w:left="1417" w:right="0" w:firstLine="0"/>
    </w:pPr>
  </w:style>
  <w:style w:type="paragraph" w:styleId="858">
    <w:name w:val="toc 7"/>
    <w:basedOn w:val="863"/>
    <w:next w:val="863"/>
    <w:uiPriority w:val="39"/>
    <w:unhideWhenUsed/>
    <w:pPr>
      <w:spacing w:after="57"/>
      <w:ind w:left="1701" w:right="0" w:firstLine="0"/>
    </w:pPr>
  </w:style>
  <w:style w:type="paragraph" w:styleId="859">
    <w:name w:val="toc 8"/>
    <w:basedOn w:val="863"/>
    <w:next w:val="863"/>
    <w:uiPriority w:val="39"/>
    <w:unhideWhenUsed/>
    <w:pPr>
      <w:spacing w:after="57"/>
      <w:ind w:left="1984" w:right="0" w:firstLine="0"/>
    </w:pPr>
  </w:style>
  <w:style w:type="paragraph" w:styleId="860">
    <w:name w:val="toc 9"/>
    <w:basedOn w:val="863"/>
    <w:next w:val="863"/>
    <w:uiPriority w:val="39"/>
    <w:unhideWhenUsed/>
    <w:pPr>
      <w:spacing w:after="57"/>
      <w:ind w:left="2268" w:right="0" w:firstLine="0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64">
    <w:name w:val="Heading 2"/>
    <w:basedOn w:val="863"/>
    <w:next w:val="863"/>
    <w:link w:val="88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65">
    <w:name w:val="Heading 4"/>
    <w:basedOn w:val="863"/>
    <w:next w:val="863"/>
    <w:link w:val="875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Balloon Text"/>
    <w:basedOn w:val="863"/>
    <w:link w:val="870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66"/>
    <w:link w:val="869"/>
    <w:uiPriority w:val="99"/>
    <w:semiHidden/>
    <w:rPr>
      <w:rFonts w:ascii="Tahoma" w:hAnsi="Tahoma" w:cs="Tahoma"/>
      <w:sz w:val="16"/>
      <w:szCs w:val="16"/>
    </w:rPr>
  </w:style>
  <w:style w:type="table" w:styleId="871">
    <w:name w:val="Table Grid"/>
    <w:basedOn w:val="867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2">
    <w:name w:val="Hyperlink"/>
    <w:basedOn w:val="866"/>
    <w:uiPriority w:val="99"/>
    <w:rPr>
      <w:rFonts w:cs="Times New Roman"/>
      <w:color w:val="0000ff"/>
      <w:u w:val="single"/>
    </w:rPr>
  </w:style>
  <w:style w:type="paragraph" w:styleId="873">
    <w:name w:val="Header"/>
    <w:basedOn w:val="863"/>
    <w:link w:val="874"/>
    <w:uiPriority w:val="99"/>
    <w:pPr>
      <w:tabs>
        <w:tab w:val="center" w:pos="4536" w:leader="none"/>
        <w:tab w:val="right" w:pos="9072" w:leader="none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874" w:customStyle="1">
    <w:name w:val="Верхний колонтитул Знак"/>
    <w:basedOn w:val="866"/>
    <w:link w:val="873"/>
    <w:uiPriority w:val="99"/>
    <w:rPr>
      <w:rFonts w:ascii="Times New Roman" w:hAnsi="Times New Roman" w:cs="Times New Roman"/>
      <w:sz w:val="20"/>
      <w:szCs w:val="20"/>
    </w:rPr>
  </w:style>
  <w:style w:type="character" w:styleId="875" w:customStyle="1">
    <w:name w:val="Заголовок 4 Знак"/>
    <w:basedOn w:val="866"/>
    <w:link w:val="865"/>
    <w:rPr>
      <w:rFonts w:ascii="Times New Roman" w:hAnsi="Times New Roman"/>
      <w:sz w:val="28"/>
      <w:szCs w:val="20"/>
    </w:rPr>
  </w:style>
  <w:style w:type="paragraph" w:styleId="876">
    <w:name w:val="Body Text"/>
    <w:basedOn w:val="863"/>
    <w:link w:val="87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877" w:customStyle="1">
    <w:name w:val="Основной текст Знак"/>
    <w:basedOn w:val="866"/>
    <w:link w:val="876"/>
    <w:rPr>
      <w:rFonts w:ascii="Times New Roman" w:hAnsi="Times New Roman"/>
      <w:sz w:val="28"/>
      <w:szCs w:val="20"/>
    </w:rPr>
  </w:style>
  <w:style w:type="paragraph" w:styleId="878">
    <w:name w:val="Footer"/>
    <w:basedOn w:val="863"/>
    <w:link w:val="879"/>
    <w:pPr>
      <w:tabs>
        <w:tab w:val="center" w:pos="4153" w:leader="none"/>
        <w:tab w:val="right" w:pos="8306" w:leader="none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879" w:customStyle="1">
    <w:name w:val="Нижний колонтитул Знак"/>
    <w:basedOn w:val="866"/>
    <w:link w:val="878"/>
    <w:rPr>
      <w:rFonts w:ascii="Times New Roman" w:hAnsi="Times New Roman"/>
      <w:sz w:val="28"/>
      <w:szCs w:val="20"/>
    </w:rPr>
  </w:style>
  <w:style w:type="character" w:styleId="880" w:customStyle="1">
    <w:name w:val="Заголовок 2 Знак"/>
    <w:basedOn w:val="866"/>
    <w:link w:val="864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81">
    <w:name w:val="Body Text Indent"/>
    <w:basedOn w:val="863"/>
    <w:link w:val="882"/>
    <w:uiPriority w:val="99"/>
    <w:unhideWhenUsed/>
    <w:pPr>
      <w:spacing w:after="120"/>
      <w:ind w:left="283"/>
    </w:pPr>
  </w:style>
  <w:style w:type="character" w:styleId="882" w:customStyle="1">
    <w:name w:val="Основной текст с отступом Знак"/>
    <w:basedOn w:val="866"/>
    <w:link w:val="881"/>
    <w:uiPriority w:val="99"/>
    <w:rPr>
      <w:sz w:val="22"/>
      <w:szCs w:val="22"/>
    </w:rPr>
  </w:style>
  <w:style w:type="paragraph" w:styleId="883" w:customStyle="1">
    <w:name w:val="ConsPlusNormal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990-38BA-4929-A886-46F2FA37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7</cp:revision>
  <dcterms:created xsi:type="dcterms:W3CDTF">2023-10-16T07:59:00Z</dcterms:created>
  <dcterms:modified xsi:type="dcterms:W3CDTF">2025-05-28T03:02:05Z</dcterms:modified>
</cp:coreProperties>
</file>