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right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Вносится Губернатором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pStyle w:val="875"/>
        <w:jc w:val="right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Новосибирской области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pStyle w:val="875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 № 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keepNext/>
        <w:spacing w:after="0" w:line="240" w:lineRule="auto"/>
        <w:rPr>
          <w:rFonts w:ascii="Times New Roman" w:hAnsi="Times New Roman"/>
          <w:b/>
          <w:sz w:val="40"/>
          <w:szCs w:val="40"/>
          <w:highlight w:val="white"/>
        </w:rPr>
        <w:outlineLvl w:val="0"/>
      </w:pPr>
      <w:r>
        <w:rPr>
          <w:rFonts w:ascii="Times New Roman" w:hAnsi="Times New Roman"/>
          <w:b/>
          <w:sz w:val="40"/>
          <w:szCs w:val="40"/>
          <w:highlight w:val="white"/>
          <w:lang w:eastAsia="ru-RU"/>
        </w:rPr>
        <w:t xml:space="preserve">ЗАКОН</w:t>
      </w:r>
      <w:r>
        <w:rPr>
          <w:rFonts w:ascii="Times New Roman" w:hAnsi="Times New Roman"/>
          <w:b/>
          <w:sz w:val="40"/>
          <w:szCs w:val="40"/>
          <w:highlight w:val="white"/>
        </w:rPr>
      </w:r>
      <w:r>
        <w:rPr>
          <w:rFonts w:ascii="Times New Roman" w:hAnsi="Times New Roman"/>
          <w:b/>
          <w:sz w:val="40"/>
          <w:szCs w:val="40"/>
          <w:highlight w:val="white"/>
        </w:rPr>
      </w:r>
    </w:p>
    <w:p>
      <w:pPr>
        <w:jc w:val="center"/>
        <w:keepNext/>
        <w:spacing w:after="0" w:line="240" w:lineRule="auto"/>
        <w:rPr>
          <w:rFonts w:ascii="Times New Roman" w:hAnsi="Times New Roman"/>
          <w:b/>
          <w:sz w:val="40"/>
          <w:szCs w:val="40"/>
          <w:highlight w:val="white"/>
        </w:rPr>
        <w:outlineLvl w:val="0"/>
      </w:pPr>
      <w:r>
        <w:rPr>
          <w:rFonts w:ascii="Times New Roman" w:hAnsi="Times New Roman"/>
          <w:b/>
          <w:sz w:val="40"/>
          <w:szCs w:val="40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/>
          <w:b/>
          <w:sz w:val="40"/>
          <w:szCs w:val="40"/>
          <w:highlight w:val="white"/>
        </w:rPr>
      </w:r>
      <w:r>
        <w:rPr>
          <w:rFonts w:ascii="Times New Roman" w:hAnsi="Times New Roman"/>
          <w:b/>
          <w:sz w:val="40"/>
          <w:szCs w:val="40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jc w:val="center"/>
        <w:rPr>
          <w:b/>
          <w:highlight w:val="white"/>
        </w:rPr>
      </w:pPr>
      <w:r>
        <w:rPr>
          <w:b/>
          <w:highlight w:val="white"/>
        </w:rPr>
        <w:t xml:space="preserve">О внесении изменений в Закон Новосибирской области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Calibri"/>
          <w:b/>
          <w:sz w:val="28"/>
          <w:szCs w:val="28"/>
          <w:highlight w:val="white"/>
          <w:lang w:eastAsia="ru-RU"/>
        </w:rPr>
        <w:t xml:space="preserve">«О социальной поддержке многодетных семей на территории Новосибирской области»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 1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iCs/>
          <w:highlight w:val="white"/>
        </w:rPr>
        <w:t xml:space="preserve">Внести в Закон Новосибирской области </w:t>
      </w:r>
      <w:r>
        <w:rPr>
          <w:rFonts w:eastAsia="Calibri"/>
          <w:highlight w:val="white"/>
        </w:rPr>
        <w:t xml:space="preserve">от 6 октября 2010 года № 533-ОЗ «О социальной поддержке многодетных семей на территории Новосибирской области»</w:t>
      </w:r>
      <w:r>
        <w:rPr>
          <w:rFonts w:eastAsia="Calibri"/>
          <w:iCs/>
          <w:highlight w:val="white"/>
        </w:rPr>
        <w:t xml:space="preserve"> (с изменениями, внесенными Законами Новосибирской области </w:t>
      </w:r>
      <w:r>
        <w:rPr>
          <w:highlight w:val="white"/>
        </w:rPr>
        <w:t xml:space="preserve">от 7 ноября 2011 года </w:t>
      </w:r>
      <w:hyperlink r:id="rId11" w:tooltip="https://login.consultant.ru/link/?req=doc&amp;base=RLAW049&amp;n=50088&amp;dst=100008" w:history="1">
        <w:r>
          <w:rPr>
            <w:highlight w:val="white"/>
          </w:rPr>
          <w:t xml:space="preserve">№ 136-ОЗ</w:t>
        </w:r>
      </w:hyperlink>
      <w:r>
        <w:rPr>
          <w:highlight w:val="white"/>
        </w:rPr>
        <w:t xml:space="preserve">, от 4 июля 2012 года </w:t>
      </w:r>
      <w:hyperlink r:id="rId12" w:tooltip="https://login.consultant.ru/link/?req=doc&amp;base=RLAW049&amp;n=56101&amp;dst=100008" w:history="1">
        <w:r>
          <w:rPr>
            <w:highlight w:val="white"/>
          </w:rPr>
          <w:t xml:space="preserve">№ 246-ОЗ</w:t>
        </w:r>
      </w:hyperlink>
      <w:r>
        <w:rPr>
          <w:highlight w:val="white"/>
        </w:rPr>
        <w:t xml:space="preserve">, от 6 декабря 2013 года </w:t>
      </w:r>
      <w:hyperlink r:id="rId13" w:tooltip="https://login.consultant.ru/link/?req=doc&amp;base=RLAW049&amp;n=100819&amp;dst=100064" w:history="1">
        <w:r>
          <w:rPr>
            <w:highlight w:val="white"/>
          </w:rPr>
          <w:t xml:space="preserve">№ 379-ОЗ</w:t>
        </w:r>
      </w:hyperlink>
      <w:r>
        <w:rPr>
          <w:highlight w:val="white"/>
        </w:rPr>
        <w:t xml:space="preserve">, от 2 октября 2014 года </w:t>
      </w:r>
      <w:hyperlink r:id="rId14" w:tooltip="https://login.consultant.ru/link/?req=doc&amp;base=RLAW049&amp;n=75072&amp;dst=100030" w:history="1">
        <w:r>
          <w:rPr>
            <w:highlight w:val="white"/>
          </w:rPr>
          <w:t xml:space="preserve">№ 465-ОЗ</w:t>
        </w:r>
      </w:hyperlink>
      <w:r>
        <w:rPr>
          <w:highlight w:val="white"/>
        </w:rPr>
        <w:t xml:space="preserve">, от 18 декабря 2014 года </w:t>
      </w:r>
      <w:hyperlink r:id="rId15" w:tooltip="https://login.consultant.ru/link/?req=doc&amp;base=RLAW049&amp;n=77153&amp;dst=100008" w:history="1">
        <w:r>
          <w:rPr>
            <w:highlight w:val="white"/>
          </w:rPr>
          <w:t xml:space="preserve">№ 496-ОЗ</w:t>
        </w:r>
      </w:hyperlink>
      <w:r>
        <w:rPr>
          <w:highlight w:val="white"/>
        </w:rPr>
        <w:t xml:space="preserve">, от 28 марта 2017 года </w:t>
      </w:r>
      <w:hyperlink r:id="rId16" w:tooltip="https://login.consultant.ru/link/?req=doc&amp;base=RLAW049&amp;n=97868&amp;dst=100037" w:history="1">
        <w:r>
          <w:rPr>
            <w:highlight w:val="white"/>
          </w:rPr>
          <w:t xml:space="preserve">№ 150-ОЗ</w:t>
        </w:r>
      </w:hyperlink>
      <w:r>
        <w:rPr>
          <w:highlight w:val="white"/>
        </w:rPr>
        <w:t xml:space="preserve">, от 10 ноября 2017 года </w:t>
      </w:r>
      <w:hyperlink r:id="rId17" w:tooltip="https://login.consultant.ru/link/?req=doc&amp;base=RLAW049&amp;n=107597&amp;dst=100014" w:history="1">
        <w:r>
          <w:rPr>
            <w:highlight w:val="white"/>
          </w:rPr>
          <w:t xml:space="preserve">№ 217-ОЗ</w:t>
        </w:r>
      </w:hyperlink>
      <w:r>
        <w:rPr>
          <w:highlight w:val="white"/>
        </w:rPr>
        <w:t xml:space="preserve">, от 3 апреля 2018 года </w:t>
      </w:r>
      <w:hyperlink r:id="rId18" w:tooltip="https://login.consultant.ru/link/?req=doc&amp;base=RLAW049&amp;n=108112&amp;dst=100014" w:history="1">
        <w:r>
          <w:rPr>
            <w:highlight w:val="white"/>
          </w:rPr>
          <w:t xml:space="preserve">№ 252-ОЗ</w:t>
        </w:r>
      </w:hyperlink>
      <w:r>
        <w:rPr>
          <w:highlight w:val="white"/>
        </w:rPr>
        <w:t xml:space="preserve">, от 25 декабря 2018 года </w:t>
      </w:r>
      <w:hyperlink r:id="rId19" w:tooltip="https://login.consultant.ru/link/?req=doc&amp;base=RLAW049&amp;n=115336&amp;dst=100057" w:history="1">
        <w:r>
          <w:rPr>
            <w:highlight w:val="white"/>
          </w:rPr>
          <w:t xml:space="preserve">№ 336-ОЗ</w:t>
        </w:r>
      </w:hyperlink>
      <w:r>
        <w:rPr>
          <w:highlight w:val="white"/>
        </w:rPr>
        <w:t xml:space="preserve">, от 28 ноября 2019 года </w:t>
      </w:r>
      <w:hyperlink r:id="rId20" w:tooltip="https://login.consultant.ru/link/?req=doc&amp;base=RLAW049&amp;n=124066&amp;dst=100008" w:history="1">
        <w:r>
          <w:rPr>
            <w:highlight w:val="white"/>
          </w:rPr>
          <w:t xml:space="preserve">№ 433</w:t>
        </w:r>
        <w:r>
          <w:rPr>
            <w:highlight w:val="white"/>
          </w:rPr>
          <w:noBreakHyphen/>
          <w:t xml:space="preserve">ОЗ</w:t>
        </w:r>
      </w:hyperlink>
      <w:r>
        <w:rPr>
          <w:highlight w:val="white"/>
        </w:rPr>
        <w:t xml:space="preserve">, от 14 июля 2020 года </w:t>
      </w:r>
      <w:hyperlink r:id="rId21" w:tooltip="https://login.consultant.ru/link/?req=doc&amp;base=RLAW049&amp;n=130793&amp;dst=100015" w:history="1">
        <w:r>
          <w:rPr>
            <w:highlight w:val="white"/>
          </w:rPr>
          <w:t xml:space="preserve">№ 490-ОЗ</w:t>
        </w:r>
      </w:hyperlink>
      <w:r>
        <w:rPr>
          <w:highlight w:val="white"/>
        </w:rPr>
        <w:t xml:space="preserve">, от 7 июня 2021 года </w:t>
      </w:r>
      <w:hyperlink r:id="rId22" w:tooltip="https://login.consultant.ru/link/?req=doc&amp;base=RLAW049&amp;n=140101&amp;dst=100024" w:history="1">
        <w:r>
          <w:rPr>
            <w:highlight w:val="white"/>
          </w:rPr>
          <w:t xml:space="preserve">№ 81-ОЗ</w:t>
        </w:r>
      </w:hyperlink>
      <w:r>
        <w:rPr>
          <w:highlight w:val="white"/>
        </w:rPr>
        <w:t xml:space="preserve">, от 27 декабря 2021 года </w:t>
      </w:r>
      <w:hyperlink r:id="rId23" w:tooltip="https://login.consultant.ru/link/?req=doc&amp;base=RLAW049&amp;n=146107&amp;dst=100008" w:history="1">
        <w:r>
          <w:rPr>
            <w:highlight w:val="white"/>
          </w:rPr>
          <w:t xml:space="preserve">№ 154-ОЗ</w:t>
        </w:r>
      </w:hyperlink>
      <w:r>
        <w:rPr>
          <w:highlight w:val="white"/>
        </w:rPr>
        <w:t xml:space="preserve">, от 16 декабря 2022 года </w:t>
      </w:r>
      <w:hyperlink r:id="rId24" w:tooltip="https://login.consultant.ru/link/?req=doc&amp;base=RLAW049&amp;n=157585&amp;dst=100008" w:history="1">
        <w:r>
          <w:rPr>
            <w:highlight w:val="white"/>
          </w:rPr>
          <w:t xml:space="preserve">№ 292-ОЗ</w:t>
        </w:r>
      </w:hyperlink>
      <w:r>
        <w:rPr>
          <w:rFonts w:eastAsia="Calibri"/>
          <w:highlight w:val="white"/>
        </w:rPr>
        <w:t xml:space="preserve">, от 12 марта 2024 года № 426-ОЗ) следующие изменения: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pStyle w:val="877"/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1) в статье 3: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pStyle w:val="877"/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а) наименование изложить в следующей редакции: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pStyle w:val="877"/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«</w:t>
      </w:r>
      <w:r>
        <w:rPr>
          <w:rFonts w:eastAsia="Calibri"/>
          <w:b/>
          <w:bCs/>
          <w:highlight w:val="white"/>
        </w:rPr>
        <w:t xml:space="preserve">Статья 3. Предоставление мер социальной поддержки</w:t>
      </w:r>
      <w:r>
        <w:rPr>
          <w:rFonts w:eastAsia="Calibri"/>
          <w:highlight w:val="white"/>
        </w:rPr>
        <w:t xml:space="preserve">»;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pStyle w:val="877"/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б) часть 1 изложить в следующей редакции: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pStyle w:val="877"/>
        <w:ind w:firstLine="709"/>
        <w:jc w:val="both"/>
        <w:rPr>
          <w:highlight w:val="white"/>
        </w:rPr>
      </w:pPr>
      <w:r>
        <w:rPr>
          <w:highlight w:val="white"/>
        </w:rPr>
        <w:t xml:space="preserve">«1. Меры социальной поддержки в соответствии с настоящим Законом предоставляются многодетным семьям </w:t>
      </w:r>
      <w:r>
        <w:rPr>
          <w:highlight w:val="white"/>
        </w:rPr>
        <w:t xml:space="preserve">, постоя</w:t>
      </w:r>
      <w:r>
        <w:rPr>
          <w:highlight w:val="white"/>
        </w:rPr>
        <w:t xml:space="preserve">нно проживающим на территории Новосибирской области (в том числе приемным семьям), все члены которых являются гражданами Российской Федерации, имеющим трех и более детей (родных, усыновленных (удочеренных), принятых под опеку (попечительство), пасынков и п</w:t>
      </w:r>
      <w:r>
        <w:rPr>
          <w:highlight w:val="white"/>
        </w:rPr>
        <w:t xml:space="preserve">адчериц) до достижения старшим ребенком из трех младших несовершеннолетних детей возраста 18 лет или возраста 23 лет при условии его обучения в организации, осуществляющей образовательную деятельность, по очной форме обучения (далее – многодетная семья).»;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в) в части 2: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pStyle w:val="877"/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в абзаце первом слова «Действие настоящего Закона не распространяется на многодетные семьи» заменить словами «</w:t>
      </w:r>
      <w:r>
        <w:rPr>
          <w:highlight w:val="white"/>
        </w:rPr>
        <w:t xml:space="preserve">Меры социальной поддержки в соответствии с настоящим Законом не предоставляются </w:t>
      </w:r>
      <w:r>
        <w:rPr>
          <w:rFonts w:eastAsia="Calibri"/>
          <w:highlight w:val="white"/>
          <w:lang w:eastAsia="zh-CN"/>
        </w:rPr>
        <w:t xml:space="preserve">многодетным семьям</w:t>
      </w:r>
      <w:r>
        <w:rPr>
          <w:rFonts w:eastAsia="Calibri"/>
          <w:highlight w:val="white"/>
        </w:rPr>
        <w:t xml:space="preserve">»;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pStyle w:val="877"/>
        <w:ind w:firstLine="709"/>
        <w:jc w:val="both"/>
        <w:rPr>
          <w:highlight w:val="white"/>
        </w:rPr>
      </w:pPr>
      <w:r>
        <w:rPr>
          <w:highlight w:val="white"/>
        </w:rPr>
        <w:t xml:space="preserve">в пункте 4 слова «в государственной или муниципальной образовательной организации» исключить;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rPr>
          <w:highlight w:val="white"/>
        </w:rPr>
      </w:pPr>
      <w:r>
        <w:rPr>
          <w:highlight w:val="white"/>
        </w:rPr>
        <w:t xml:space="preserve">пункт 7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rPr>
          <w:highlight w:val="white"/>
        </w:rPr>
      </w:pPr>
      <w:r>
        <w:rPr>
          <w:highlight w:val="white"/>
        </w:rPr>
        <w:t xml:space="preserve">«7) лишения родительских прав обоих родителей или </w:t>
      </w:r>
      <w:r>
        <w:rPr>
          <w:rFonts w:eastAsia="Calibri"/>
          <w:highlight w:val="white"/>
          <w:lang w:eastAsia="zh-CN"/>
        </w:rPr>
        <w:t xml:space="preserve">единственного родителя</w:t>
      </w:r>
      <w:r>
        <w:rPr>
          <w:highlight w:val="white"/>
        </w:rPr>
        <w:t xml:space="preserve"> в отношении одного или нескольких детей;»;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rPr>
          <w:highlight w:val="white"/>
        </w:rPr>
      </w:pPr>
      <w:r>
        <w:rPr>
          <w:highlight w:val="white"/>
        </w:rPr>
        <w:t xml:space="preserve">дополнить пунктом 7.1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rPr>
          <w:highlight w:val="white"/>
        </w:rPr>
      </w:pPr>
      <w:r>
        <w:rPr>
          <w:highlight w:val="white"/>
        </w:rPr>
        <w:t xml:space="preserve">«7.1) ограничения родительских прав в отношении двух и более детей;»;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2) в статье 5: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а) в пункте 3 слова «пунктами 1, 2, 5–7, 9–12 части 1» заменить словами «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пунктами 1–3, 5, 6, 8, абзацем вторым пункта 9, пунктами 10–</w:t>
      </w:r>
      <w:r>
        <w:rPr>
          <w:rFonts w:ascii="Times New Roman" w:hAnsi="Times New Roman"/>
          <w:sz w:val="28"/>
          <w:szCs w:val="28"/>
          <w:highlight w:val="white"/>
        </w:rPr>
        <w:t xml:space="preserve">14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части 1»;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б) пункты 4 и 5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«4)</w:t>
      </w:r>
      <w:r>
        <w:rPr>
          <w:rFonts w:ascii="Times New Roman" w:hAnsi="Times New Roman"/>
          <w:sz w:val="28"/>
          <w:szCs w:val="28"/>
          <w:highlight w:val="white"/>
        </w:rPr>
        <w:t xml:space="preserve"> установление порядка выдачи удостоверения, подтверждающего статус многодетной семьи в Российской Федерации (далее – удостоверение многодетной семьи);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firstLine="709"/>
        <w:jc w:val="both"/>
        <w:rPr>
          <w:highlight w:val="white"/>
        </w:rPr>
      </w:pPr>
      <w:r>
        <w:rPr>
          <w:highlight w:val="white"/>
        </w:rPr>
        <w:t xml:space="preserve">5) установление размера, порядка и условий предоставления меры социальной поддержки многодетным семьям, установленной пунктом 7 части 1 статьи 8 настоящего Закона;»;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3) в статье 6: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а) в наименовании слова «государственной власти» исключить, слова «поддержки </w:t>
      </w:r>
      <w:r>
        <w:rPr>
          <w:rFonts w:ascii="Times New Roman" w:hAnsi="Times New Roman"/>
          <w:sz w:val="28"/>
          <w:szCs w:val="28"/>
          <w:highlight w:val="white"/>
        </w:rPr>
        <w:t xml:space="preserve">многодетных семей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 заменить словами «защиты населения»;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б) в абзаце первом слова «государственной власти» исключить, слова «поддержки </w:t>
      </w:r>
      <w:r>
        <w:rPr>
          <w:rFonts w:ascii="Times New Roman" w:hAnsi="Times New Roman"/>
          <w:sz w:val="28"/>
          <w:szCs w:val="28"/>
          <w:highlight w:val="white"/>
        </w:rPr>
        <w:t xml:space="preserve">многодетных семей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 заменить словами «защиты населения»;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в) пункт 5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5) осуществление учета многодетных семей и предоставляемых им мер социальной поддержки, в том числе в электронном виде;»;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г) дополнить пунктом 5.1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strike/>
          <w:highlight w:val="white"/>
        </w:rPr>
      </w:pPr>
      <w:r>
        <w:rPr>
          <w:highlight w:val="white"/>
        </w:rPr>
        <w:t xml:space="preserve">«5.1) изготовление и выдача удостоверений многодетной семьи;»;</w:t>
      </w:r>
      <w:r>
        <w:rPr>
          <w:strike/>
          <w:highlight w:val="white"/>
        </w:rPr>
      </w:r>
      <w:r>
        <w:rPr>
          <w:strike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4) в статье 7: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а) в абзаце первом части 2 слова «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, имеющей право на меры социальной поддержки,» исключить;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б) части 3–4 признать утратившими силу;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в) в части 5 слова «на срок наличия у семьи статуса многодетной» заменить словом «бессрочно»;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г) в части 6 слово «статус» заменить словами «предоставление мер социальной поддержки»;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5) в статье 8: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а) часть 1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«1. Многодетным семьям устанавливаются следующие меры социальной поддержки: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1) пе</w:t>
      </w:r>
      <w:r>
        <w:rPr>
          <w:highlight w:val="white"/>
        </w:rPr>
        <w:t xml:space="preserve">рвоочередное предоставление мест в имеющих государственную аккредитацию государственных образовательных организациях высшего образования Новосибирской области или государственных профессиональных образовательных организациях Новосибирской области для детей</w:t>
      </w:r>
      <w:r>
        <w:rPr>
          <w:highlight w:val="white"/>
        </w:rPr>
        <w:t xml:space="preserve">, сдавших единый (основной) государственный экзамен, при прочих равных условиях;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2) прием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3) предоставление бесплатного питания, обучающимся в государственных общеобразовательных организациях Новосибирской области, муниципальных общеобразовательных организациях, расположенных на территории Новосибирской области;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4) компенсация расходов на оплату жилого помещения и коммунальных услуг в размере 30 процентов (для многодетных семей, имеющих пять и более детей, компенсация в размере 50 процентов) от начисленной платы за жилое помещение </w:t>
      </w:r>
      <w:r>
        <w:rPr>
          <w:highlight w:val="white"/>
        </w:rPr>
        <w:t xml:space="preserve">и коммунальные услуги, в том числе стоимости топлива, приобретаемого в пределах норм, установленных для продажи населению, и транспортных услуг для доставки этого топлива – при проживании в домах, не имеющих центрального отопления, но не более 30 процентов</w:t>
      </w:r>
      <w:r>
        <w:rPr>
          <w:highlight w:val="white"/>
        </w:rPr>
        <w:t xml:space="preserve"> (для многодетных семей, имеющих пять и более детей, не более 50 процентов) от суммы размеров регионального стандарта стоимости жилищно-коммунальных услуг, установленного Губернатором Новосибирской области, приходящегося на каждого члена многодетной семьи;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5) право проезда по муниципальным и межмуниципальным маршрутам регулярных перевозок по регулируемым тарифам без взимания пла</w:t>
      </w:r>
      <w:r>
        <w:rPr>
          <w:highlight w:val="white"/>
        </w:rPr>
        <w:t xml:space="preserve">ты, по межмуниципальным маршрутам регулярных перевозок по нерегулируемым тарифам в объеме, установленном Правительством Новосибирской области, для обучающихся в образовательных организациях всех типов, на основании специального месячного проездного билета;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6) бесплатное обеспечение детей </w:t>
      </w:r>
      <w:r>
        <w:rPr>
          <w:highlight w:val="white"/>
        </w:rPr>
        <w:t xml:space="preserve">в возрасте до 6 лет лекарственными препаратами по рецептам на лекарственные препараты;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7) ежегодная денежная выплата на приобретение школьно-письменных принадлежностей, одежды для посещения учебных занятий и спортивной формы детям</w:t>
      </w:r>
      <w:r>
        <w:rPr>
          <w:highlight w:val="white"/>
        </w:rPr>
        <w:t xml:space="preserve">, обучающимся в общеобразовательных организациях на весь период обучения;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8) бесплатные образовательные услуги государственных организаций дополнительного образования детей Новосибирской области, муниципальных организаций дополнительного образования детей, расположенных на территории Новосибирской области;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9) первоочередное бесплатное предоставление земельных участков, которое осуществляется в случаях и порядке, определенных </w:t>
      </w:r>
      <w:hyperlink r:id="rId25" w:tooltip="https://login.consultant.ru/link/?req=doc&amp;base=RLAW049&amp;n=166832" w:history="1">
        <w:r>
          <w:rPr>
            <w:highlight w:val="white"/>
          </w:rPr>
          <w:t xml:space="preserve">Законом</w:t>
        </w:r>
      </w:hyperlink>
      <w:r>
        <w:rPr>
          <w:highlight w:val="white"/>
        </w:rPr>
        <w:t xml:space="preserve"> Новосибирской </w:t>
      </w:r>
      <w:r>
        <w:rPr>
          <w:highlight w:val="white"/>
        </w:rPr>
        <w:t xml:space="preserve">области от 5 декабря 2016 года № 112-ОЗ «Об отдельных вопросах регулирования земельных отношений на территории Новосибирской области».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Граждане, имеющие трех и более детей, состоящие на учете в качестве лиц, имеющих право на предоставление земельного участка для индивидуального жилищного строительства, а также на учете в качестве нуждающихся в жилых помещениях, предо</w:t>
      </w:r>
      <w:r>
        <w:rPr>
          <w:highlight w:val="white"/>
        </w:rPr>
        <w:t xml:space="preserve">ставляемых по договорам социального найма, осуществляемом органами местного самоуправления, с их согласия могут получить взамен предоставления земельного участка для индивидуального жилищного строительства единовременную денежную выплату в соответствии со </w:t>
      </w:r>
      <w:hyperlink r:id="rId26" w:tooltip="https://login.consultant.ru/link/?req=doc&amp;base=RLAW049&amp;n=166832&amp;dst=11" w:history="1">
        <w:r>
          <w:rPr>
            <w:highlight w:val="white"/>
          </w:rPr>
          <w:t xml:space="preserve">статьей 6.1</w:t>
        </w:r>
      </w:hyperlink>
      <w:r>
        <w:rPr>
          <w:highlight w:val="white"/>
        </w:rPr>
        <w:t xml:space="preserve"> Закона Новосибирской области от 5 декабря 2016 года № 112-ОЗ «Об отдельных вопросах регулирования земельных отношений на территории Новосибирской области»;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10) посещение на льготных условиях детьми </w:t>
      </w:r>
      <w:r>
        <w:rPr>
          <w:highlight w:val="white"/>
        </w:rPr>
        <w:t xml:space="preserve">учреждений и организаций культуры, находящихся в ведении Новосибирской области;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>
        <w:rPr>
          <w:highlight w:val="white"/>
        </w:rPr>
        <w:t xml:space="preserve">11) содействие многодетным родителям (опекунам, попечителям), желающим создать крестьянские (фермерские) хозяйства, в выделении земельных участков;</w:t>
      </w:r>
      <w:r>
        <w:rPr>
          <w:highlight w:val="white"/>
        </w:rPr>
      </w:r>
      <w:r>
        <w:rPr>
          <w:highlight w:val="white"/>
        </w:rPr>
      </w:r>
    </w:p>
    <w:p>
      <w:pPr>
        <w:pStyle w:val="877"/>
        <w:ind w:firstLine="709"/>
        <w:jc w:val="both"/>
        <w:spacing w:line="283" w:lineRule="atLeast"/>
        <w:rPr>
          <w:highlight w:val="white"/>
        </w:rPr>
      </w:pPr>
      <w:r/>
      <w:bookmarkStart w:id="5" w:name="undefined"/>
      <w:r/>
      <w:bookmarkEnd w:id="5"/>
      <w:r>
        <w:rPr>
          <w:highlight w:val="white"/>
        </w:rPr>
        <w:t xml:space="preserve">12) содействие в трудоустройстве многодетных родителей (опекунов, попечителей);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13) предоставлен</w:t>
      </w:r>
      <w:r>
        <w:rPr>
          <w:rFonts w:ascii="Times New Roman" w:hAnsi="Times New Roman"/>
          <w:sz w:val="28"/>
          <w:szCs w:val="28"/>
          <w:highlight w:val="white"/>
        </w:rPr>
        <w:t xml:space="preserve">ие в приоритетном порядке государственной социальной помощи на основании социального контракта в соответствии с условиями, установленными законодательством Российской Федерации, в рамках предоставления социальной помощи на территории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4</w:t>
      </w:r>
      <w:bookmarkStart w:id="10" w:name="_GoBack"/>
      <w:r/>
      <w:bookmarkEnd w:id="10"/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) содействие в улучшении жилищных условий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</w:t>
      </w:r>
      <w:r>
        <w:rPr>
          <w:rFonts w:ascii="Times New Roman" w:hAnsi="Times New Roman"/>
          <w:sz w:val="28"/>
          <w:szCs w:val="28"/>
          <w:highlight w:val="white"/>
        </w:rPr>
        <w:t xml:space="preserve">нить частью 4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ind w:firstLine="709"/>
        <w:jc w:val="both"/>
        <w:rPr>
          <w:highlight w:val="white"/>
        </w:rPr>
      </w:pPr>
      <w:r>
        <w:rPr>
          <w:highlight w:val="white"/>
        </w:rPr>
        <w:t xml:space="preserve">«4. Областными исполнительными органами Новосибирской обла</w:t>
      </w:r>
      <w:r>
        <w:rPr>
          <w:highlight w:val="white"/>
        </w:rPr>
        <w:t xml:space="preserve">сти, реализующими меры социальной поддержки, предусмотренные настоящей статьей, обеспечивается информирование многодетных семей о полагающихся им мерах социальной поддержки, помощи и услугах, в том числе посредством государственных информационных систем.»;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6) в статье 9: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а) абзац второй части 2 признать утратившим силу;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б) в части 4.1 слова «пунктом 11.1» заменить словами «абзацем вторым пункта 9»;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7) в части 3 статьи 10 слова «пунктами 1, 2, 5–12» заменить словами «пунктами 1–3, 5–10».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 2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  <w:lang w:eastAsia="ru-RU"/>
        </w:rPr>
        <w:t xml:space="preserve">1. Настоящий Закон вступает в силу по истечении 10 дней после дня его официального опубликования.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2. Положения пункта 1 статьи 1 настоящего Закона распространяются на граждан, обратившихся за получением удостоверения многодетной семьи после вступления в силу настоящего Закона.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Многодетные семьи, которые до вступления в силу настоящего Закона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 имели право на предоставление мер социальной поддержки, предусмотренных статьей 8 Закона Новосибирской области от 6 октября 2010 года № 533-ОЗ «О социальной поддержке многодетных семей на территории Новосибирской области», сохраняют право на их получение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в течение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период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на который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им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присвое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статус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многодетной семьи.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ab/>
        <w:t xml:space="preserve">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г. Новосибирск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«___» __________ 2024 г.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 _____________ – ОЗ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417" w:right="567" w:bottom="1417" w:left="1417" w:header="578" w:footer="567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Цвингер Ольга Фёдоровна" w:date="2024-02-02T17:22:00Z" w:initials="ЦОФ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Пп «г» П.5 указа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Необходимо определить уполномоченный орган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180CA9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SimSun">
    <w:panose1 w:val="0200050600000002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  <w:lang w:eastAsia="en-US"/>
      </w:rPr>
    </w:r>
    <w:r>
      <w:rPr>
        <w:rFonts w:ascii="Times New Roman" w:hAnsi="Times New Roman"/>
        <w:lang w:eastAsia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Цвингер Ольга Фёдоровна">
    <w15:presenceInfo w15:providerId="AD" w15:userId="S-1-5-21-2356655543-2162514679-1277178298-11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78">
    <w:name w:val="Heading 1"/>
    <w:basedOn w:val="677"/>
    <w:next w:val="677"/>
    <w:link w:val="70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70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70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0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1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71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71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71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71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character" w:styleId="700" w:customStyle="1">
    <w:name w:val="Subtitle Char"/>
    <w:basedOn w:val="687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Caption Char"/>
    <w:uiPriority w:val="99"/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77"/>
    <w:uiPriority w:val="34"/>
    <w:qFormat/>
    <w:pPr>
      <w:contextualSpacing/>
      <w:ind w:left="720"/>
    </w:pPr>
  </w:style>
  <w:style w:type="paragraph" w:styleId="716">
    <w:name w:val="No Spacing"/>
    <w:uiPriority w:val="1"/>
    <w:qFormat/>
  </w:style>
  <w:style w:type="paragraph" w:styleId="717">
    <w:name w:val="Title"/>
    <w:basedOn w:val="677"/>
    <w:next w:val="677"/>
    <w:link w:val="718"/>
    <w:uiPriority w:val="10"/>
    <w:qFormat/>
    <w:pPr>
      <w:contextualSpacing/>
      <w:spacing w:before="300"/>
    </w:pPr>
    <w:rPr>
      <w:sz w:val="48"/>
      <w:szCs w:val="48"/>
    </w:rPr>
  </w:style>
  <w:style w:type="character" w:styleId="718" w:customStyle="1">
    <w:name w:val="Заголовок Знак"/>
    <w:link w:val="717"/>
    <w:uiPriority w:val="10"/>
    <w:rPr>
      <w:sz w:val="48"/>
      <w:szCs w:val="48"/>
    </w:rPr>
  </w:style>
  <w:style w:type="paragraph" w:styleId="719">
    <w:name w:val="Subtitle"/>
    <w:basedOn w:val="677"/>
    <w:next w:val="677"/>
    <w:link w:val="720"/>
    <w:uiPriority w:val="11"/>
    <w:qFormat/>
    <w:pPr>
      <w:spacing w:before="200"/>
    </w:pPr>
    <w:rPr>
      <w:sz w:val="24"/>
      <w:szCs w:val="24"/>
    </w:r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77"/>
    <w:next w:val="677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7"/>
    <w:next w:val="677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77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character" w:styleId="726" w:customStyle="1">
    <w:name w:val="Header Char"/>
    <w:uiPriority w:val="99"/>
  </w:style>
  <w:style w:type="paragraph" w:styleId="727">
    <w:name w:val="Footer"/>
    <w:basedOn w:val="677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 w:customStyle="1">
    <w:name w:val="Footer Char"/>
    <w:uiPriority w:val="99"/>
  </w:style>
  <w:style w:type="paragraph" w:styleId="729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Нижний колонтитул Знак"/>
    <w:link w:val="727"/>
    <w:uiPriority w:val="99"/>
  </w:style>
  <w:style w:type="table" w:styleId="73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677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77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77"/>
    <w:next w:val="677"/>
    <w:uiPriority w:val="39"/>
    <w:unhideWhenUsed/>
    <w:pPr>
      <w:spacing w:after="57"/>
    </w:pPr>
  </w:style>
  <w:style w:type="paragraph" w:styleId="865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6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7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8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9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70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71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72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77"/>
    <w:next w:val="677"/>
    <w:uiPriority w:val="99"/>
    <w:unhideWhenUsed/>
    <w:pPr>
      <w:spacing w:after="0"/>
    </w:pPr>
  </w:style>
  <w:style w:type="paragraph" w:styleId="875" w:customStyle="1">
    <w:name w:val="Standard"/>
    <w:pPr>
      <w:widowControl w:val="off"/>
    </w:pPr>
    <w:rPr>
      <w:rFonts w:ascii="Arial" w:hAnsi="Arial" w:eastAsia="SimSun" w:cs="Arial"/>
      <w:sz w:val="21"/>
      <w:szCs w:val="24"/>
      <w:lang w:eastAsia="hi-IN" w:bidi="hi-IN"/>
    </w:rPr>
  </w:style>
  <w:style w:type="character" w:styleId="876" w:customStyle="1">
    <w:name w:val="Верхний колонтитул Знак"/>
    <w:link w:val="725"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paragraph" w:styleId="877" w:customStyle="1">
    <w:name w:val="ConsPlusNormal"/>
    <w:rPr>
      <w:rFonts w:ascii="Times New Roman" w:hAnsi="Times New Roman" w:eastAsia="Times New Roman"/>
      <w:sz w:val="28"/>
      <w:szCs w:val="28"/>
      <w:lang w:eastAsia="ru-RU"/>
    </w:rPr>
  </w:style>
  <w:style w:type="paragraph" w:styleId="878">
    <w:name w:val="HTML Preformatted"/>
    <w:basedOn w:val="677"/>
    <w:link w:val="879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879" w:customStyle="1">
    <w:name w:val="Стандартный HTML Знак"/>
    <w:link w:val="878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0">
    <w:name w:val="Balloon Text"/>
    <w:basedOn w:val="677"/>
    <w:link w:val="88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link w:val="880"/>
    <w:uiPriority w:val="99"/>
    <w:semiHidden/>
    <w:rPr>
      <w:rFonts w:ascii="Segoe UI" w:hAnsi="Segoe UI" w:eastAsia="Times New Roman" w:cs="Segoe UI"/>
      <w:sz w:val="18"/>
      <w:szCs w:val="18"/>
      <w:lang w:eastAsia="en-US"/>
    </w:rPr>
  </w:style>
  <w:style w:type="character" w:styleId="882">
    <w:name w:val="annotation reference"/>
    <w:uiPriority w:val="99"/>
    <w:semiHidden/>
    <w:unhideWhenUsed/>
    <w:rPr>
      <w:sz w:val="16"/>
      <w:szCs w:val="16"/>
    </w:rPr>
  </w:style>
  <w:style w:type="paragraph" w:styleId="883">
    <w:name w:val="annotation text"/>
    <w:basedOn w:val="677"/>
    <w:link w:val="884"/>
    <w:uiPriority w:val="99"/>
    <w:semiHidden/>
    <w:unhideWhenUsed/>
    <w:rPr>
      <w:sz w:val="20"/>
      <w:szCs w:val="20"/>
    </w:rPr>
  </w:style>
  <w:style w:type="character" w:styleId="884" w:customStyle="1">
    <w:name w:val="Текст примечания Знак"/>
    <w:link w:val="883"/>
    <w:uiPriority w:val="99"/>
    <w:semiHidden/>
    <w:rPr>
      <w:rFonts w:eastAsia="Times New Roman"/>
      <w:lang w:eastAsia="en-US"/>
    </w:rPr>
  </w:style>
  <w:style w:type="paragraph" w:styleId="885">
    <w:name w:val="annotation subject"/>
    <w:basedOn w:val="883"/>
    <w:next w:val="883"/>
    <w:link w:val="886"/>
    <w:uiPriority w:val="99"/>
    <w:semiHidden/>
    <w:unhideWhenUsed/>
    <w:rPr>
      <w:b/>
      <w:bCs/>
    </w:rPr>
  </w:style>
  <w:style w:type="character" w:styleId="886" w:customStyle="1">
    <w:name w:val="Тема примечания Знак"/>
    <w:link w:val="885"/>
    <w:uiPriority w:val="99"/>
    <w:semiHidden/>
    <w:rPr>
      <w:rFonts w:eastAsia="Times New Roman"/>
      <w:b/>
      <w:bCs/>
      <w:lang w:eastAsia="en-US"/>
    </w:rPr>
  </w:style>
  <w:style w:type="paragraph" w:styleId="887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cs="Calibri" w:eastAsiaTheme="minorEastAsia"/>
      <w:b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049&amp;n=50088&amp;dst=100008" TargetMode="External"/><Relationship Id="rId12" Type="http://schemas.openxmlformats.org/officeDocument/2006/relationships/hyperlink" Target="https://login.consultant.ru/link/?req=doc&amp;base=RLAW049&amp;n=56101&amp;dst=100008" TargetMode="External"/><Relationship Id="rId13" Type="http://schemas.openxmlformats.org/officeDocument/2006/relationships/hyperlink" Target="https://login.consultant.ru/link/?req=doc&amp;base=RLAW049&amp;n=100819&amp;dst=100064" TargetMode="External"/><Relationship Id="rId14" Type="http://schemas.openxmlformats.org/officeDocument/2006/relationships/hyperlink" Target="https://login.consultant.ru/link/?req=doc&amp;base=RLAW049&amp;n=75072&amp;dst=100030" TargetMode="External"/><Relationship Id="rId15" Type="http://schemas.openxmlformats.org/officeDocument/2006/relationships/hyperlink" Target="https://login.consultant.ru/link/?req=doc&amp;base=RLAW049&amp;n=77153&amp;dst=100008" TargetMode="External"/><Relationship Id="rId16" Type="http://schemas.openxmlformats.org/officeDocument/2006/relationships/hyperlink" Target="https://login.consultant.ru/link/?req=doc&amp;base=RLAW049&amp;n=97868&amp;dst=100037" TargetMode="External"/><Relationship Id="rId17" Type="http://schemas.openxmlformats.org/officeDocument/2006/relationships/hyperlink" Target="https://login.consultant.ru/link/?req=doc&amp;base=RLAW049&amp;n=107597&amp;dst=100014" TargetMode="External"/><Relationship Id="rId18" Type="http://schemas.openxmlformats.org/officeDocument/2006/relationships/hyperlink" Target="https://login.consultant.ru/link/?req=doc&amp;base=RLAW049&amp;n=108112&amp;dst=100014" TargetMode="External"/><Relationship Id="rId19" Type="http://schemas.openxmlformats.org/officeDocument/2006/relationships/hyperlink" Target="https://login.consultant.ru/link/?req=doc&amp;base=RLAW049&amp;n=115336&amp;dst=100057" TargetMode="External"/><Relationship Id="rId20" Type="http://schemas.openxmlformats.org/officeDocument/2006/relationships/hyperlink" Target="https://login.consultant.ru/link/?req=doc&amp;base=RLAW049&amp;n=124066&amp;dst=100008" TargetMode="External"/><Relationship Id="rId21" Type="http://schemas.openxmlformats.org/officeDocument/2006/relationships/hyperlink" Target="https://login.consultant.ru/link/?req=doc&amp;base=RLAW049&amp;n=130793&amp;dst=100015" TargetMode="External"/><Relationship Id="rId22" Type="http://schemas.openxmlformats.org/officeDocument/2006/relationships/hyperlink" Target="https://login.consultant.ru/link/?req=doc&amp;base=RLAW049&amp;n=140101&amp;dst=100024" TargetMode="External"/><Relationship Id="rId23" Type="http://schemas.openxmlformats.org/officeDocument/2006/relationships/hyperlink" Target="https://login.consultant.ru/link/?req=doc&amp;base=RLAW049&amp;n=146107&amp;dst=100008" TargetMode="External"/><Relationship Id="rId24" Type="http://schemas.openxmlformats.org/officeDocument/2006/relationships/hyperlink" Target="https://login.consultant.ru/link/?req=doc&amp;base=RLAW049&amp;n=157585&amp;dst=100008" TargetMode="External"/><Relationship Id="rId25" Type="http://schemas.openxmlformats.org/officeDocument/2006/relationships/hyperlink" Target="https://login.consultant.ru/link/?req=doc&amp;base=RLAW049&amp;n=166832" TargetMode="External"/><Relationship Id="rId26" Type="http://schemas.openxmlformats.org/officeDocument/2006/relationships/hyperlink" Target="https://login.consultant.ru/link/?req=doc&amp;base=RLAW049&amp;n=166832&amp;dst=11" TargetMode="External"/><Relationship Id="rId27" Type="http://schemas.onlyoffice.com/commentsDocument" Target="commentsDocument.xml" /><Relationship Id="rId28" Type="http://schemas.onlyoffice.com/commentsExtendedDocument" Target="commentsExtendedDocument.xml" /><Relationship Id="rId29" Type="http://schemas.onlyoffice.com/commentsIdsDocument" Target="commentsIdsDocument.xml" /><Relationship Id="rId30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382F-3019-47DF-B6A8-C7091D92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revision>8</cp:revision>
  <dcterms:created xsi:type="dcterms:W3CDTF">2024-04-02T09:47:00Z</dcterms:created>
  <dcterms:modified xsi:type="dcterms:W3CDTF">2024-04-05T03:47:56Z</dcterms:modified>
  <cp:version>983040</cp:version>
</cp:coreProperties>
</file>