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отраслевому соглашению на 2024-2026 годы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государственным учреждениям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области, подведомственным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министерству труда и социального развития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ОТРАСЛЕВОЕ ТАРИФНОЕ СОГЛАШЕНИЕ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2024 - 2026 ГОДЫ ПО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ПОДВЕДОМСТВЕННЫМ МИНИСТЕРСТВУ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779"/>
        <w:jc w:val="both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Отраслевое тарифное соглашение (далее - Соглашение) разработано в соответствии с федеральным законодательством и законодательством Новосибирской области, содержащими нормы трудового права, </w:t>
      </w:r>
      <w:hyperlink r:id="rId11" w:tooltip="consultantplus://offline/ref=57F132E5631BC934C5488EAAB35FB3BFF28069BE20E61500049B9046DFDE3D45E5945FFB6B926C1B96EE42124BD795F5D9AF5D02E8F4AADFC25BC50BM5TED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26.06.2018 № 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уководителей, их заместителей, главных бухгалтеров и среднемесячной заработной платы работников государственных учреждений Новосибирской области», с учетом Единых рекомендаций Российской трехсторонней комиссии по регулированию социально-трудовых отношений.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Соглашение устанавливает систему оплаты труда работников государственных учре</w:t>
      </w:r>
      <w:r>
        <w:rPr>
          <w:rFonts w:ascii="Times New Roman" w:hAnsi="Times New Roman" w:cs="Times New Roman"/>
          <w:sz w:val="28"/>
          <w:szCs w:val="28"/>
        </w:rPr>
        <w:t xml:space="preserve">ждений Новосибирской области, подведомственных министерству труда и социального развития Новосибирской области (далее - министерство), за исключением государственных казенных учреждений Новосибирской области центров занятости населения (далее – учреждения)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Система оплаты труда работников учреждений включает размеры окладов (должностных окладов), перечень, размеры и условия осуществления компенсационных и стимулирующих выплат работникам,</w:t>
      </w:r>
      <w:r>
        <w:rPr>
          <w:rFonts w:ascii="Times New Roman" w:hAnsi="Times New Roman" w:cs="Times New Roman"/>
          <w:sz w:val="28"/>
          <w:szCs w:val="28"/>
        </w:rPr>
        <w:t xml:space="preserve"> условия оплаты труда руководителей, их заместителей, главных бухгалтеров и размеры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учреждений.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Система оплаты труда работников конкретного учреждения устанавливается Положением об оплате труда работников учреждения (далее – Положение об оплате труда), являющимс</w:t>
      </w:r>
      <w:r>
        <w:rPr>
          <w:rFonts w:ascii="Times New Roman" w:hAnsi="Times New Roman" w:cs="Times New Roman"/>
          <w:sz w:val="28"/>
          <w:szCs w:val="28"/>
        </w:rPr>
        <w:t xml:space="preserve">я приложением к коллективному договору, или утверждаемым локальным нормативным актом учреждения, в соответствии с федеральным законодательством и законодательством Новосибирской области, содержащим нормы трудового права, на основании настоящего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Фонд оплаты труда работников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государственного автономного и бюджетного учреждения формируется в пределах объем</w:t>
      </w:r>
      <w:r>
        <w:rPr>
          <w:rFonts w:ascii="Times New Roman" w:hAnsi="Times New Roman" w:cs="Times New Roman"/>
          <w:sz w:val="28"/>
          <w:szCs w:val="28"/>
        </w:rPr>
        <w:t xml:space="preserve">а субсидий из бюджета Новосибирской области на финансовое обеспечение выполнения ими государственного задания на оказание государственных услуг (выполнение работ) физическим и (или) юридическим лицам и средств, поступающих от приносящей доход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Штатное расписание учреждения формируется и утверждается руководителем учреждения самостоятельно, исходя из государственного задания и </w:t>
      </w:r>
      <w:r>
        <w:rPr>
          <w:rFonts w:ascii="Times New Roman" w:hAnsi="Times New Roman" w:cs="Times New Roman"/>
          <w:sz w:val="28"/>
          <w:szCs w:val="28"/>
        </w:rPr>
        <w:t xml:space="preserve">основных задач, для решения которых создано учреждение, и включает в себя все должности руководителей, специалистов, служащих и профессии рабочих данного учреждения с указанием их численности.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штатной численности не более 24 штатных единиц - 0;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штатной численности 25 - 100 штатных единиц - 1;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штатной численности 101 - 200 штатных единиц - не более 2;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штатной численности 201 - 300 штатных единиц - не более 3;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штатной численности 301 - 1000 штатных единиц - не более 4;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штатной численности более1000 штатных единиц - не более 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учреждении филиалов и (или) иных обособленных структурных подразделений норматив численности заместителей руководителя увеличивается на 1 штатную единицу.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со штатной численностью 25 - 300 человек норматив численности заместителей руководителя устанавливается в размере не более 3 штатных единиц.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Наименования должностей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профессий и квалификационные требования к ним должны соответствовать наи</w:t>
      </w:r>
      <w:r>
        <w:rPr>
          <w:rFonts w:ascii="Times New Roman" w:hAnsi="Times New Roman" w:cs="Times New Roman"/>
          <w:sz w:val="28"/>
          <w:szCs w:val="28"/>
        </w:rPr>
        <w:t xml:space="preserve">менованиям и требованиям, указанным в Едином тарифно-квалификационном справочнике работ и профессий рабочих и Едином квалификационном справочнике должностей руководителей, специалистов и служащих, или соответствующим положениям профессиональных стандартов.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Лица, не имеющие специальной подготовки или стажа работы, установленных требованиями к квалификации, но обладающие 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Работодатели в письменном виде знакомят указанных работников с Письмом Министерства труда и социальной защиты РФ от 04.04.2016 № 14-0/10/В-2253.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</w:t>
      </w:r>
      <w:r>
        <w:rPr>
          <w:rFonts w:ascii="Times New Roman" w:hAnsi="Times New Roman" w:cs="Times New Roman"/>
          <w:sz w:val="28"/>
          <w:szCs w:val="28"/>
        </w:rPr>
        <w:t xml:space="preserve">реждения осуществляет подготовку работников (профессиональное образование и профессиональное обучение) и их дополнительное профессиональное образование на условиях и в порядке, определенных коллективным договором или локальным нормативным актом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Доля расходов на оплату труда основного персонала в фонде оплаты труда учреждения не может составлять менее 60 процентов.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основному персоналу учреждения относятся работники, непосредственно оказывающие услуги (выполняющие работы), направленные на достижение целей деятельности, определенных уставом учреждения, а также их непосредственные руководители.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и профессий работников учреждений, относящихся к основному персоналу в отрасли, установлен в приложении № 1 к настоящему Соглашению.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Объем стимулирующей части фонда оплаты труда учреждения должен составлять не менее 20 процентов от фонда оплаты труда учреждения. Объем стимулирующей части фонда оплаты труда учреждения определяется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(за счет бюджетных средств, а также средств от предпринимательской и иной приносящей доход деятельности, направленных на оплату труда работников).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Оплата труда работников учреждений, в том числе руководителей, заместителей руководителей и главных бухгалтеров, включает: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оклад (должностной оклад, ставку заработной платы);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выплаты компенсационного характера;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выплаты стимулирующего характера;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выплаты по районному коэффициенту.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труда, установленной Положением об оплате труда работников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договор заключается на основе примерной </w:t>
      </w:r>
      <w:hyperlink r:id="rId12" w:tooltip="consultantplus://offline/ref=57F132E5631BC934C54890A7A533EDB6FA8331B125E2175651C79611808E3B10A5D459AE28D6631991E516410789CCA69BE45006F0E8AADBMDTFD" w:history="1">
        <w:r>
          <w:rPr>
            <w:rFonts w:ascii="Times New Roman" w:hAnsi="Times New Roman" w:cs="Times New Roman"/>
            <w:sz w:val="28"/>
            <w:szCs w:val="28"/>
          </w:rPr>
          <w:t xml:space="preserve">формы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договора с работником государственного (муниципального) учре</w:t>
      </w:r>
      <w:r>
        <w:rPr>
          <w:rFonts w:ascii="Times New Roman" w:hAnsi="Times New Roman" w:cs="Times New Roman"/>
          <w:sz w:val="28"/>
          <w:szCs w:val="28"/>
        </w:rPr>
        <w:t xml:space="preserve">ждения, в соответствии с приложением № 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№ 2190-р.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При наступлении у работника права на изменение размера оплаты труда в период </w:t>
      </w:r>
      <w:r>
        <w:rPr>
          <w:rFonts w:ascii="Times New Roman" w:hAnsi="Times New Roman" w:cs="Times New Roman"/>
          <w:sz w:val="28"/>
          <w:szCs w:val="28"/>
        </w:rPr>
        <w:t xml:space="preserve">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 Размеры должностных окладов (окладов) работников учреждений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Размеры должностных окладов по общеотраслевым должностям руководителей, специалистов и служащих, окладов по общеотраслевым профессиям рабочих устанавливаются в соответствии с </w:t>
      </w:r>
      <w:hyperlink r:id="rId13" w:tooltip="consultantplus://offline/ref=BDCCCE64E296B8ABCEF5DD40AE0B718C9935A233EC4AC2B90D1D257FCA651FEB2EE29C9B2CD2ECD2430EB0A54BD807E342LCV9E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от 20.07.2022 № 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 (далее - приказ № 878).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Размеры должностных окладов главных медицинских сестер устанавливаются с учетом сложности и объема выполняемой работы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учреждений на 10 - 30 процентов ниже окладов руководителей этих учреждений.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10 - 20 процентов ниже окладов руководителей этих структурных подразделений.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Размеры должностных окладов руководителей отделов, отделений и других структурных подразделений учреждений из числа врачебного персонала устанавливаются выше должностн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оклада</w:t>
      </w:r>
      <w:r>
        <w:rPr>
          <w:rFonts w:ascii="Times New Roman" w:hAnsi="Times New Roman" w:cs="Times New Roman"/>
          <w:sz w:val="28"/>
          <w:szCs w:val="28"/>
        </w:rPr>
        <w:t xml:space="preserve"> врача-специалиста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на - 10%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в подразделении до 6 врачебных должностей, </w:t>
      </w:r>
      <w:r>
        <w:rPr>
          <w:rFonts w:ascii="Times New Roman" w:hAnsi="Times New Roman" w:cs="Times New Roman"/>
          <w:sz w:val="28"/>
          <w:szCs w:val="28"/>
        </w:rPr>
        <w:t xml:space="preserve">а при наличии в подразделении 7 и более врачебных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на - 20%.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Размеры должностных окладов по </w:t>
      </w:r>
      <w:r>
        <w:rPr>
          <w:rFonts w:ascii="Times New Roman" w:hAnsi="Times New Roman" w:cs="Times New Roman"/>
          <w:sz w:val="28"/>
          <w:szCs w:val="28"/>
        </w:rPr>
        <w:t xml:space="preserve">должностям руководителей, специалистов и служащих, окладов по профессиям </w:t>
      </w:r>
      <w:r>
        <w:rPr>
          <w:rFonts w:ascii="Times New Roman" w:hAnsi="Times New Roman" w:cs="Times New Roman"/>
          <w:sz w:val="28"/>
          <w:szCs w:val="28"/>
        </w:rPr>
        <w:t xml:space="preserve">рабочих установлены в приложении № 2 к настоящему Соглашению.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Индексация должностных окладов (окладов), ставок заработной платы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на основании нормативных правовых актов Новосибирской области.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Виды выплат компенсационного характера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Работникам учреждений, в том числе руководителям, заместителям руководителей и главным бухгалтерам, могут быть установлены следующие выплаты компенсационного характера: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доплата за работу с вредными и (или) опасными условиями труда;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доплата за работу в ночное время;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доплата за работу в выходные и нерабочие праздничные дни;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доплата за сверхурочную работу;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доплата за совмещение профессий (должностей),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доплата за особенности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доплата</w:t>
      </w:r>
      <w:r>
        <w:rPr>
          <w:rFonts w:ascii="Times New Roman" w:hAnsi="Times New Roman" w:cs="Times New Roman"/>
          <w:sz w:val="28"/>
          <w:szCs w:val="28"/>
        </w:rPr>
        <w:t xml:space="preserve"> за работу в сельской местности.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Доплата за работу с вредными и (или) опасными условиями труда устанавливаются по результатам специальной оценки условий труда.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</w:t>
      </w:r>
      <w:r>
        <w:rPr>
          <w:rFonts w:ascii="Times New Roman" w:hAnsi="Times New Roman" w:cs="Times New Roman"/>
          <w:sz w:val="28"/>
          <w:szCs w:val="28"/>
        </w:rPr>
        <w:t xml:space="preserve">и труда, составляет 4 процента должностного оклада (оклада), </w:t>
      </w:r>
      <w:r>
        <w:rPr>
          <w:rFonts w:ascii="Times New Roman" w:hAnsi="Times New Roman" w:cs="Times New Roman"/>
          <w:sz w:val="28"/>
          <w:szCs w:val="28"/>
        </w:rPr>
        <w:t xml:space="preserve">ставки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для различных видов работ с нормальными условиями труда.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договором, трудовым договором.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 Для работников, условия</w:t>
      </w:r>
      <w:r>
        <w:rPr>
          <w:rFonts w:ascii="Times New Roman" w:hAnsi="Times New Roman" w:cs="Times New Roman"/>
          <w:sz w:val="28"/>
          <w:szCs w:val="28"/>
        </w:rPr>
        <w:t xml:space="preserve">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труда, и которым c их письменного согласия трудовыми договорами установлена продолжительность рабочего </w:t>
      </w:r>
      <w:r>
        <w:rPr>
          <w:rFonts w:ascii="Times New Roman" w:hAnsi="Times New Roman" w:cs="Times New Roman"/>
          <w:sz w:val="28"/>
          <w:szCs w:val="28"/>
        </w:rPr>
        <w:t xml:space="preserve">времени свыше 36 часов в неделю (но не более 40 часов), устанавливается компенсационная выплата – доплата за работу сверх сокращенной продолжительности рабочего времени.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Доплата за работу сверх сокращенной продолжительности рабочего времени начисляется за фактическое время, отработанное сверх 36 часов в неделю (но не более чем за 4 часа).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отработанное сверх сокращенной продолжительности рабочего времени (сверх 36 часов в неделю), оплачивается не менее чем в двойном размере (с учетом опла</w:t>
      </w:r>
      <w:r>
        <w:rPr>
          <w:rFonts w:ascii="Times New Roman" w:hAnsi="Times New Roman" w:cs="Times New Roman"/>
          <w:sz w:val="28"/>
          <w:szCs w:val="28"/>
        </w:rPr>
        <w:t xml:space="preserve">ты за работу в пределах установленной ему продолжительности рабочего времени не более 40 часов в неделю) по итогам периода, за который начислена заработная плата, или учетного периода при суммированном учете рабочего времени не менее чем в двойном размере.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стоимости часа для опреде</w:t>
      </w:r>
      <w:r>
        <w:rPr>
          <w:rFonts w:ascii="Times New Roman" w:hAnsi="Times New Roman" w:cs="Times New Roman"/>
          <w:sz w:val="28"/>
          <w:szCs w:val="28"/>
        </w:rPr>
        <w:t xml:space="preserve">ления размера компенсационной выплаты (доплаты) за работу сверх сокращенной продолжительности рабочего времени производится путем деления установленного работнику оклада (должностного оклада, ставки заработной платы), стимулирующих и компенсационных выплат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установленной для него системой оплаты труда, на установленную норму рабочего времени в этом месяце (в часах) или на среднемесячную установленную норму рабочего времени (в часах) в учетном периоде при суммированном учете рабочего времени.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доплаты определяются коллективным договором, локальным нормативным актом учреждения, принимаемым с учетом мнения выборного профсоюзного или иного представительного органа работников учреждения, или трудовым договором.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Доплата за работу в ночное время (с 22 часов до 6 часов) составляет не менее 20% должностного оклада (оклада), ставки заработной платы, рассчитанного за час работы в ночное время. 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доплаты за работу в ночное время устанавливаются с учетом мнения представительного органа работников учреждения в локальных нормативных актах, коллективных договорах, соглашениях.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Доплата за работу в выходные и нерабочие праздничные дни устанавливается в соответствии с Трудовым </w:t>
      </w:r>
      <w:hyperlink r:id="rId14" w:tooltip="consultantplus://offline/ref=57F132E5631BC934C54890A7A533EDB6FF8F3EB624E7175651C79611808E3B10B7D401A22AD07F1A90F0401041MDTFD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доплаты за работу в выходные и нерабочие праздничные дни осуществляется с учетом правовых позиций Конституционного Суда Российской Федерации, изложенных в постановлении от 28.06.2018 № 26-П.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Сверхурочная работа оплачивается в соответствии со статьей 152 Трудового кодекса Российской Федерации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первые два часа работы не менее чем в полуторном размере;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последующие часы - не менее чем в двойном размере.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сверхурочную работу определяются коллективным договором, локальным нормативным актом учреждения или трудовым договором.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При исчислении размера доплаты за работу в выходные или нерабочие праздничные дни, сверхурочную работу учитываются не только оклады </w:t>
      </w:r>
      <w:r>
        <w:rPr>
          <w:rFonts w:ascii="Times New Roman" w:hAnsi="Times New Roman" w:cs="Times New Roman"/>
          <w:sz w:val="28"/>
          <w:szCs w:val="28"/>
        </w:rPr>
        <w:t xml:space="preserve">(должностные оклады), ставки заработной платы, но и компенсационные и стимулирующие выплаты, предусмотренные системой оплаты труда.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асчет стоимости часа для определения размера доплаты за работу в выходные или нерабочие праздничные дни, сверхурочную работу производится путем деления установленного работнику оклада (должностного оклада, ставки заработной платы), стимулирующих и компенса</w:t>
      </w:r>
      <w:r>
        <w:rPr>
          <w:rFonts w:ascii="Times New Roman" w:hAnsi="Times New Roman" w:cs="Times New Roman"/>
          <w:sz w:val="28"/>
          <w:szCs w:val="28"/>
        </w:rPr>
        <w:t xml:space="preserve">ционных выплат, предусмотренных установленной для него системой оплаты труда, на установленную норму рабочего времени в этом месяце (в часах) или на среднемесячную норму рабочего времени (в часах) в учетном периоде при суммированном учете рабочего времени.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Размеры доплат за совмещение профессий (должностей), расширение зон обслуживания, увеличение объ</w:t>
      </w:r>
      <w:r>
        <w:rPr>
          <w:rFonts w:ascii="Times New Roman" w:hAnsi="Times New Roman" w:cs="Times New Roman"/>
          <w:sz w:val="28"/>
          <w:szCs w:val="28"/>
        </w:rPr>
        <w:t xml:space="preserve">ема выполняемых работ и выполнение обязанностей временно отсутствующего работника без освобождения от работы, определенной трудовым договором, устанавливаются по соглашению сторон трудового договора с учетом содержания и (или) объема дополнительной 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Работникам учреждений устанавливается компенсационная доплата за особенности деятельности.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Перечень учреждений, подразделений и должностей,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которых дает право на установление работникам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компенсационной доплаты за особенности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4"/>
        <w:gridCol w:w="3969"/>
        <w:gridCol w:w="2127"/>
      </w:tblGrid>
      <w:tr>
        <w:tblPrEx/>
        <w:trPr/>
        <w:tc>
          <w:tcPr>
            <w:tcW w:w="3964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учреждений и их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доплаты (в процентах от должностного оклада (оклада), ставки заработной платы)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Дома-интернаты (пансионаты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общего типа для граждан пожилого возраста и инвалидов; специальные дома для одиноких престарелых; геронтологические центры; центры социальной реабилитации инвалидов; комплексные социально-оздоровительные центры; комплексные центры социальной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врачей, среднего и младшего медицинского персонала всех наименований, предусмотренные для обслуживания больных; руководителей, специалистов, служащих и рабочих, обслуживающих и работающих с контингентом этих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545"/>
        </w:trPr>
        <w:tc>
          <w:tcPr>
            <w:tcW w:w="3964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центры социальной адаптации инвалидов; комплексные центры социального обслуживания населения; центры социальной помощи семье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врачей,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 и младшего медицинского персонала всех наименований, предусмотренные для обслуживания больных; руководителей, специалистов, служащих и рабочих, обслуживающих и работающих с контингентом этих учреждений (за исключением учебно-воспитательного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Учебно-воспитательный персонал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учреждения для несовершеннолетних, нуждающихся в социальной реабилитации; центр социальной помощи семье и детям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посредственно обслуживающие контингент и работающие с контингентом (за исключением сотрудников отделений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 в составе специализированных учреждений для несовершеннолетних, нуждающихся в социальной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непосредственно обслуживающие контингент и работающие с контингентом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Психоневрологические интернаты (отделения); комплексные центры социальной адаптации граждан;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дома-интернаты для граждан пожилого возраста и инвалидов; детские дома-интернаты для детей-инвалидов и молодых инвалидов, имеющих психические расстройства; транзитные специализированные учреждения для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врачей, среднего и младшего медицинского персонала всех наименований, предусмотренные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контингента в указанных учреждениях; руководителей, специалистов, служащих и рабочих всех профессий, осуществляющих непосредственное взаимодействие с контингентом в процессе исполнения должностных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(палаты) для лежачих больных в составе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персонала, непосредственно обслуживающего контингент (лежачих больных)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милосердия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осуществляющие непосредственное взаимодействие с контингентом (лежачими больными) в процессе исполнения должностных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НСО «Центр детского, семейного отдыха и оздоровления «ВСЕКАНИКУЛЫ»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олжности персонала, непосредственно работающего с контингентом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793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медицинского персонала, работающего на лазерных установках, и специалистов, обслуживающих лазерные установки; дезинфекторы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содействия семейному устройству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родителей; центры содействия семейному устройству детей-сирот и детей, оставшихся без попечения родителей, постинтернатного сопровождения; реабилитационные центры для детей и подростков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врачей, среднего и младшего медицинского персонала всех наименований, служащих (включая руководителей) и рабочих всех профессий, осуществляющих непосредственное взаимодействие с контингентом в процессе исполнения должностных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социальной поддержки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и специалисты, непосредственно взаимодействующие с контингентом в процессе исполнения своих должностных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(подразделения, должности) перечислены в нескольких пунктах перечня учреждений, подразделений и должностей, работа в которых дает право на установление работникам компенсационной доплаты за особенности деятельности, размеры доплаты, установленные по каждо</w:t>
      </w:r>
      <w:r>
        <w:rPr>
          <w:rFonts w:ascii="Times New Roman" w:hAnsi="Times New Roman" w:cs="Times New Roman"/>
          <w:sz w:val="28"/>
          <w:szCs w:val="28"/>
        </w:rPr>
        <w:t xml:space="preserve">му из оснований, не суммируются, доплата устанавливается в большем из возможных размеров.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учреждения, с учетом мнения выборного профсоюзного или иного представительн</w:t>
      </w:r>
      <w:r>
        <w:rPr>
          <w:rFonts w:ascii="Times New Roman" w:hAnsi="Times New Roman" w:cs="Times New Roman"/>
          <w:sz w:val="28"/>
          <w:szCs w:val="28"/>
        </w:rPr>
        <w:t xml:space="preserve">ого органа работников учреждения, формирует и утверждает перечень должностей руководителей, специалистов, служащих и рабочих, работа в которых дает право на установление работникам компенсационной доплаты за особенности деятельности с указанием ее размера.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должностных инструкциях соответствующих работников учреждения выделяются и конкретизируются аспекты трудовой деятельности, являющиеся основанием для установления компенсационной доплаты за особенности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ГАУ НСО «Центр детского, семейного отдыха и оздоровления «ВСЕКАНИКУЛЫ» доплата за особенности деятельности устанавливается на период действия оздоровительной кампании.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Размер доплаты за работу в сельской местности руководителям и специалистам учреждений составляет 25% должностного оклада (оклада)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Размеры выплат компенсационного характера работникам учреждения устанавливаются Положением об оплате труда работников и не могут быть ниже, а условия и</w:t>
      </w:r>
      <w:r>
        <w:rPr>
          <w:rFonts w:ascii="Times New Roman" w:hAnsi="Times New Roman" w:cs="Times New Roman"/>
          <w:sz w:val="28"/>
          <w:szCs w:val="28"/>
        </w:rPr>
        <w:t xml:space="preserve">х осуществления не должны быть ухудшены по сравнению с размерами и условиями, установленными трудовым законодательством и иными правовыми актами Российской Федерации и Новосибирской области, содержащими нормы трудового права, а также настоящим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пропорционально отработанному времени.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Виды выплат стимулирующего характера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Работникам учреждений, в том числе руководителям, заместителям руководителей и главным бухгалтерам, могут быть установлены следующие </w:t>
      </w:r>
      <w:r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надбавка за качественные показатели эффективности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надбавка за ученую степень, ученое звание;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надбавка за почетные звания;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надбавка за квалификационную категорию;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надбавка за продолжительность непрерывной работы;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премии по итогам календарного периода;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премии за выполнение важных и особо важных заданий.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Надбавка за качественные показатели эффективности деятельности устанавливается работникам учреждений по результатам выполнения качественных показателей эффективности деятельности работника.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показатели эффективности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работников устанавливаются Положением об оплате труда учреждения по каждой должности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показатели эффективности деятельности работников учреждений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установлению стимулирующих выплат работник</w:t>
      </w:r>
      <w:r>
        <w:rPr>
          <w:rFonts w:ascii="Times New Roman" w:hAnsi="Times New Roman" w:cs="Times New Roman"/>
          <w:sz w:val="28"/>
          <w:szCs w:val="28"/>
        </w:rPr>
        <w:t xml:space="preserve">ам учреждения, созданная в учреждении, не реже одного раза в квартал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работникам учреждения, которые устанавливаются приказом руководителя учреждения. Периодичность оценки результатов выполнения качественных показателей эффективности деятельности работников устанавливается Положением об оплате труда работников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Надбавка за ученую степень устанавливается работникам учреждений, имеющих ученую степень по профилю, соответствующему профилю деятельности работника или учреждения, в размерах: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ученую степень «кандидат наук» - 8% от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 (</w:t>
      </w:r>
      <w:r>
        <w:rPr>
          <w:rFonts w:ascii="Times New Roman" w:hAnsi="Times New Roman" w:cs="Times New Roman"/>
          <w:sz w:val="28"/>
          <w:szCs w:val="28"/>
        </w:rPr>
        <w:t xml:space="preserve">оклада</w:t>
      </w:r>
      <w:r>
        <w:rPr>
          <w:rFonts w:ascii="Times New Roman" w:hAnsi="Times New Roman" w:cs="Times New Roman"/>
          <w:sz w:val="28"/>
          <w:szCs w:val="28"/>
        </w:rPr>
        <w:t xml:space="preserve">),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ученую степень «доктор наук» - 16%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(оклада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Надбавка за почетное звание устанавливается: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работникам учреждений, которым присвоено почетное звание </w:t>
      </w:r>
      <w:r>
        <w:rPr>
          <w:rFonts w:ascii="Times New Roman" w:hAnsi="Times New Roman" w:cs="Times New Roman"/>
          <w:sz w:val="28"/>
          <w:szCs w:val="28"/>
        </w:rPr>
        <w:t xml:space="preserve">«Заслуженный»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профилю деятельности работника или учреждения, в размере 8%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(оклада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работникам учреждений, которым присвоено почетное звание </w:t>
      </w:r>
      <w:r>
        <w:rPr>
          <w:rFonts w:ascii="Times New Roman" w:hAnsi="Times New Roman" w:cs="Times New Roman"/>
          <w:sz w:val="28"/>
          <w:szCs w:val="28"/>
        </w:rPr>
        <w:t xml:space="preserve">«Заслуженный»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соответствующее профилю деятельности работника или учреж</w:t>
      </w:r>
      <w:r>
        <w:rPr>
          <w:rFonts w:ascii="Times New Roman" w:hAnsi="Times New Roman" w:cs="Times New Roman"/>
          <w:sz w:val="28"/>
          <w:szCs w:val="28"/>
        </w:rPr>
        <w:t xml:space="preserve">дения, в размере 10% от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(оклада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работника </w:t>
      </w:r>
      <w:r>
        <w:rPr>
          <w:rFonts w:ascii="Times New Roman" w:hAnsi="Times New Roman" w:cs="Times New Roman"/>
          <w:sz w:val="28"/>
          <w:szCs w:val="28"/>
        </w:rPr>
        <w:t xml:space="preserve">права на получение надбавки за </w:t>
      </w:r>
      <w:r>
        <w:rPr>
          <w:rFonts w:ascii="Times New Roman" w:hAnsi="Times New Roman" w:cs="Times New Roman"/>
          <w:sz w:val="28"/>
          <w:szCs w:val="28"/>
        </w:rPr>
        <w:t xml:space="preserve">почетн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звание </w:t>
      </w:r>
      <w:r>
        <w:rPr>
          <w:rFonts w:ascii="Times New Roman" w:hAnsi="Times New Roman" w:cs="Times New Roman"/>
          <w:sz w:val="28"/>
          <w:szCs w:val="28"/>
        </w:rPr>
        <w:t xml:space="preserve">«Заслуженный» </w:t>
      </w:r>
      <w:r>
        <w:rPr>
          <w:rFonts w:ascii="Times New Roman" w:hAnsi="Times New Roman" w:cs="Times New Roman"/>
          <w:sz w:val="28"/>
          <w:szCs w:val="28"/>
        </w:rPr>
        <w:t xml:space="preserve">дву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hAnsi="Times New Roman" w:cs="Times New Roman"/>
          <w:sz w:val="28"/>
          <w:szCs w:val="28"/>
        </w:rPr>
        <w:t xml:space="preserve">основаниям надбавка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за одно почетное звание по выбору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Надбавка за квалификационную категорию устанавливается в размере: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работникам, которым в результате аттестации присвоена пер</w:t>
      </w:r>
      <w:r>
        <w:rPr>
          <w:rFonts w:ascii="Times New Roman" w:hAnsi="Times New Roman" w:cs="Times New Roman"/>
          <w:sz w:val="28"/>
          <w:szCs w:val="28"/>
        </w:rPr>
        <w:t xml:space="preserve">вая квалификационная категория - </w:t>
      </w:r>
      <w:r>
        <w:rPr>
          <w:rFonts w:ascii="Times New Roman" w:hAnsi="Times New Roman" w:cs="Times New Roman"/>
          <w:sz w:val="28"/>
          <w:szCs w:val="28"/>
        </w:rPr>
        <w:t xml:space="preserve">8%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работникам, которым в результате аттестации присвоена высшая квалификационная категория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16%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оклада, ставки заработной платы.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Надбавка за продолжительность непрерывной работы устанавливается по основной должности всем работникам учреждений в размере: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- 10%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(оклада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– после трех лет непрерывной работы в учреждениях, иных организациях, с учетом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35.1</w:t>
      </w:r>
      <w:r>
        <w:rPr>
          <w:rFonts w:ascii="Times New Roman" w:hAnsi="Times New Roman" w:cs="Times New Roman"/>
          <w:sz w:val="28"/>
          <w:szCs w:val="28"/>
        </w:rPr>
        <w:t xml:space="preserve">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- 20%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(оклада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– после пяти лет непрерывной работы в учреждениях, иных организациях, с учетом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35.1</w:t>
      </w:r>
      <w:r>
        <w:rPr>
          <w:rFonts w:ascii="Times New Roman" w:hAnsi="Times New Roman" w:cs="Times New Roman"/>
          <w:sz w:val="28"/>
          <w:szCs w:val="28"/>
        </w:rPr>
        <w:t xml:space="preserve">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35.1. В непрерывную работу засчитывается: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непрерывной работы как по основной работе, так и работе по совместительству, на любых должностях</w:t>
      </w:r>
      <w:r>
        <w:rPr>
          <w:rFonts w:ascii="Times New Roman" w:hAnsi="Times New Roman" w:cs="Times New Roman"/>
          <w:sz w:val="28"/>
          <w:szCs w:val="28"/>
        </w:rPr>
        <w:t xml:space="preserve"> и профессиях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должностях врачей и провизоров-интернов, врачей и провизоров-стажеров, в учреждениях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дравоохранения, социальной защиты населения, дополнительного образования, Госсанэпиднадзора и учреждениях, подведомственных исполнительным органам государственной власти (органам местного самоуправления), уполномоченным в сфере социальной защиты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пребывания в интернатуре на базе клинических кафедр высших медицинских образовательных учреждений;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пребывания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работы в централизованных бухгалтериях при органах и учреждениях здравоохранения, социальной защиты населения, дополнительного образования, Госсанэпиднадзор</w:t>
      </w:r>
      <w:r>
        <w:rPr>
          <w:rFonts w:ascii="Times New Roman" w:hAnsi="Times New Roman" w:cs="Times New Roman"/>
          <w:sz w:val="28"/>
          <w:szCs w:val="28"/>
        </w:rPr>
        <w:t xml:space="preserve">а и учреждениях, подведомственных исполнительным органам государственной власти (органам местного самоуправления), уполномоченным в сфере социальной защиты населения, при условии, если за ней непосредственно следовала работа в данных учреждениях и органах;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выполнения в учреждениях здравоохранения лечебно-диагностической ра</w:t>
      </w:r>
      <w:r>
        <w:rPr>
          <w:rFonts w:ascii="Times New Roman" w:hAnsi="Times New Roman" w:cs="Times New Roman"/>
          <w:sz w:val="28"/>
          <w:szCs w:val="28"/>
        </w:rPr>
        <w:t xml:space="preserve">боты, заведование отделениями и дополнительные дежурства, осуществляемые работниками государственных медицинских высших образовательных учреждений, в том числе учреждений дополнительного медицинского образования, и научных организаций клинического профиля;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работы на должностях руководителей и врачей службы милосердия, медицинских сестер милосердия, в т.ч. старших и младших, обществ Красного Креста и его организаций;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непрерывной работы, как по основной работе, так и работе по </w:t>
      </w:r>
      <w:r>
        <w:rPr>
          <w:rFonts w:ascii="Times New Roman" w:hAnsi="Times New Roman" w:cs="Times New Roman"/>
          <w:sz w:val="28"/>
          <w:szCs w:val="28"/>
        </w:rPr>
        <w:t xml:space="preserve">совместительству, на врачебных и фельдшерских здравпунктах, являющихся структурными подразделениями организаций независимо от форм собственности;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службы (работы) в военно-медицинских учреждениях (подразделениях) и на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нахождения на действительной военной службе (в органах внутренних дел) лиц </w:t>
      </w:r>
      <w:r>
        <w:rPr>
          <w:rFonts w:ascii="Times New Roman" w:hAnsi="Times New Roman" w:cs="Times New Roman"/>
          <w:sz w:val="28"/>
          <w:szCs w:val="28"/>
        </w:rPr>
        <w:t xml:space="preserve">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</w:t>
      </w:r>
      <w:r>
        <w:rPr>
          <w:rFonts w:ascii="Times New Roman" w:hAnsi="Times New Roman" w:cs="Times New Roman"/>
          <w:sz w:val="28"/>
          <w:szCs w:val="28"/>
        </w:rPr>
        <w:t xml:space="preserve">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учреждение здравоохранения, социальной защиты населения, дополнительного образования, Госсанэпидн</w:t>
      </w:r>
      <w:r>
        <w:rPr>
          <w:rFonts w:ascii="Times New Roman" w:hAnsi="Times New Roman" w:cs="Times New Roman"/>
          <w:sz w:val="28"/>
          <w:szCs w:val="28"/>
        </w:rPr>
        <w:t xml:space="preserve">адзора, учреждение, подведомственное исполнительному органу государственной власти (органу местного самоуправления), уполномоченному в сфере социальной защиты населения, не превысил 1 года. Ветеранам боевых действий на территории других государств, ветеран</w:t>
      </w:r>
      <w:r>
        <w:rPr>
          <w:rFonts w:ascii="Times New Roman" w:hAnsi="Times New Roman" w:cs="Times New Roman"/>
          <w:sz w:val="28"/>
          <w:szCs w:val="28"/>
        </w:rPr>
        <w:t xml:space="preserve">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работы в учреждениях здравоохранения и социальной защиты населения в период учебы с</w:t>
      </w:r>
      <w:r>
        <w:rPr>
          <w:rFonts w:ascii="Times New Roman" w:hAnsi="Times New Roman" w:cs="Times New Roman"/>
          <w:sz w:val="28"/>
          <w:szCs w:val="28"/>
        </w:rPr>
        <w:t xml:space="preserve">тудентам медицинских высших и средних образовательных учреждений, независимо от продолжительности перерывов в работе, связанных с учебой, при условии, если за ней непосредственно следовала работа в учреждениях здравоохранения и социальной защиты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непрерывной работы в приемниках-распределителях МВД России для лиц, задержанных за бродяжничество и попрошайничество;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службы в Вооруженных Силах СССР, органах внутренних дел и государственной безопасности СССР, а также выполнения интернационального долга, в том числе нахождения военнослужащих в плену, при наличии справки военкомата;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государственной гражданской (муниципальной) службы, работы на должностях в исполнительных органах государственной власти (органах местного самоуправл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ения), уполномоченных в сфере социальной защиты населения, территориальных органах исполнительных органов государственной власти, уполномоченных в сфере социальной защиты населения, при условии, если за ними непосредственно следовала работа в учреждениях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дравоохранения, социальной защиты населения, дополнительного образования, Госсанэпиднадзора и учреждениях, подведомственных исполнительным органам государственной власти (органам местного самоуправления), уполномоченным в сфере социальной защиты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35.2. В стаж работы также засчитывается, если нижеперечисленным периодам непосредственно предшествовала и за ними непосредственно следовала работа, дающая право на надбавки: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работы на выборных должностях в органах законодательной и исполнительной власти и профсоюзных органах;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работы в учреждениях здравоохранения и социальной защиты стран СНГ, а также республик, входивших в состав СССР до 01.01.1992;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время по уходу за ребенком до достижения им возраста трех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 Стаж работы сохраняется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на работу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учреждения: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35.3.1. Не позднее одного месяца: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увольнения из учреждений здравоохранения, социальной защит</w:t>
      </w:r>
      <w:r>
        <w:rPr>
          <w:rFonts w:ascii="Times New Roman" w:hAnsi="Times New Roman" w:cs="Times New Roman"/>
          <w:sz w:val="28"/>
          <w:szCs w:val="28"/>
        </w:rPr>
        <w:t xml:space="preserve">ы населения, дополнительного образования, Госсанэпиднадзора, учреждения, подведомственного исполнительному органу государственной власти (органу местного самоуправления), уполномоченному в сфере социальной защиты населения, исполнительных органов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власти (органов местного самоуправления), уполномоченных в сфере социальной защиты населения, территориальных органов исполнительных органов государственной власти, уполномоченных в сфере социальной защиты населения (далее - социальные организации);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увольнения с научной или педагогической работы, которая непосредственно следовала за работой (службой) в социальных организациях;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прекращения временной инвалидности или болезни, вызвавших увольнение из социальных организаций, а также в случае увольнения с работы, на которую работник был переведен по этим основаниям;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увольнения из органов управления здравоохранения, социальной защиты населения, органов Госсанэпиднадзора, Федерального и территориальных фондов обязательного медицинского страхования, медиц</w:t>
      </w:r>
      <w:r>
        <w:rPr>
          <w:rFonts w:ascii="Times New Roman" w:hAnsi="Times New Roman" w:cs="Times New Roman"/>
          <w:sz w:val="28"/>
          <w:szCs w:val="28"/>
        </w:rPr>
        <w:t xml:space="preserve">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обществ Красного Креста, комитетов профсоюзов работников здравоохранения и с должностей доверенных врачей;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увольнения с работы на должностях медицинского персонала дошкольных и общеобразовательных учреждений, колхозно-совхозных профилакториев, которая непосредственно следовала за работой в социальных организациях;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увольнения из предприятий и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социальных организациях;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дня увольнения из приемника-распределителя МВД России для лиц, </w:t>
      </w:r>
      <w:r>
        <w:rPr>
          <w:rFonts w:ascii="Times New Roman" w:hAnsi="Times New Roman" w:cs="Times New Roman"/>
          <w:sz w:val="28"/>
          <w:szCs w:val="28"/>
        </w:rPr>
        <w:t xml:space="preserve">задержанных за бродяжничество и попрошайничество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35.3.2. Не позднее двух месяцев: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 дня увольнения из социальных организаций, после окончания обусловленного трудовым договором срока работы в районах Крайнего Севера и местностях, приравненных к районам Крайнего Севера;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предшествовала работа в социальных организациях.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35.3.3. Не позднее трех месяцев: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после окончания высшего или среднего профессионального образовательного учреждения, аспирантуры, докторантуры, клинической ординатуры и интернатуры;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 дня увольнения в связи с ликвидацией учреждения (подразделения), сокращением штатов;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 дня увольнения с работы (службы) в военно-медицинских учреждениях (подразделениях) и с медицинских (фармацевтич</w:t>
      </w:r>
      <w:r>
        <w:rPr>
          <w:rFonts w:ascii="Times New Roman" w:hAnsi="Times New Roman" w:cs="Times New Roman"/>
          <w:sz w:val="28"/>
          <w:szCs w:val="28"/>
        </w:rPr>
        <w:t xml:space="preserve">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не считая времени переезда.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35.3.4. Не позднее шести месяцев - со дня увольнения в связи с ликвидацией учреждения (подразделения) в районах Крайнего Севера и местностях, приравненных к районам Крайнего Севера.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35.3.5. Не позднее одного года - со дня увольнения с военной службы, не считая времени переезда, если службе непосредственно предшествовала работа в социальных организациях.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35.3.6. 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социальных организациях: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эвакуируемым или выезжающим в добровольном порядке из зон радиоактивного загрязнения;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зарегистрированным на бирже труда как безработные; получающим стипендию в период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покинувшим постоянное место жительства и работу в связи с осложнением межнациональных отношений;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пенсионерам, вышедшим на государственную пенсию из учреждения здравоохранения или социальной защиты населения (по старости, по инвалидности, за выслугу лет и другим основаниям);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женам (мужьям) военнослужащих (лиц рядового и начальствующего состава органов внутренних дел), увольняющимся с работы по собственному же</w:t>
      </w:r>
      <w:r>
        <w:rPr>
          <w:rFonts w:ascii="Times New Roman" w:hAnsi="Times New Roman" w:cs="Times New Roman"/>
          <w:sz w:val="28"/>
          <w:szCs w:val="28"/>
        </w:rPr>
        <w:t xml:space="preserve">ланию из социальных организаций,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занятым на сезонных работах в учреждениях здравоохранения.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Стаж работы сохраняется также в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работы в организациях системы здраво</w:t>
      </w:r>
      <w:r>
        <w:rPr>
          <w:rFonts w:ascii="Times New Roman" w:hAnsi="Times New Roman" w:cs="Times New Roman"/>
          <w:sz w:val="28"/>
          <w:szCs w:val="28"/>
        </w:rPr>
        <w:t xml:space="preserve">охранения (кафедрах вузов, научно-исследовательских учреждениях и др.), не входящих в номенклатуру учреждений здравоохранения, в период обучения в медицинских высших и средних образовательных учреждениях и обучения на подготовительных отделениях в медицинс</w:t>
      </w:r>
      <w:r>
        <w:rPr>
          <w:rFonts w:ascii="Times New Roman" w:hAnsi="Times New Roman" w:cs="Times New Roman"/>
          <w:sz w:val="28"/>
          <w:szCs w:val="28"/>
        </w:rPr>
        <w:t xml:space="preserve">ких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35.4. Перерывы в работе, предусмотренные подпунктами 35.3.1 - 35.3.5 Соглашения, в стаж непрерывной работы, дающий право на надбавки за продолжительность работы, не включаются.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35.5. В стаж </w:t>
      </w:r>
      <w:r>
        <w:rPr>
          <w:rFonts w:ascii="Times New Roman" w:hAnsi="Times New Roman" w:cs="Times New Roman"/>
          <w:sz w:val="28"/>
          <w:szCs w:val="28"/>
        </w:rPr>
        <w:t xml:space="preserve">работы не засчитывается и прерывает его время работы в организациях, не предусмотренных номенклатурой учреждений здравоохранения и социальной защиты населения, за исключением учреждений, организаций и предприятий, упомянутых в настоящем разделе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Работнику учреждения по результатам выполнения качественных показателей эффективности деятельности работника учреждения, может быть установлена премия по итогам календар</w:t>
      </w:r>
      <w:r>
        <w:rPr>
          <w:rFonts w:ascii="Times New Roman" w:hAnsi="Times New Roman" w:cs="Times New Roman"/>
          <w:sz w:val="28"/>
          <w:szCs w:val="28"/>
        </w:rPr>
        <w:t xml:space="preserve">ного периода, конкретный размер которой устанавливается приказом руководителя учреждения в пределах экономии фонда оплаты труда учреждения на основании предложений комиссии по установлению стимулирующих выплат работникам учреждения, созданной в учреждении.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по итогам календарного периода выпла</w:t>
      </w:r>
      <w:r>
        <w:rPr>
          <w:rFonts w:ascii="Times New Roman" w:hAnsi="Times New Roman" w:cs="Times New Roman"/>
          <w:sz w:val="28"/>
          <w:szCs w:val="28"/>
        </w:rPr>
        <w:t xml:space="preserve">чивается работникам учреждения,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течении календарного периода, по итогам которого выплачивается премия.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Работникам учреждения, в случае выполнения важного или особо важного </w:t>
      </w:r>
      <w:r>
        <w:rPr>
          <w:rFonts w:ascii="Times New Roman" w:hAnsi="Times New Roman" w:cs="Times New Roman"/>
          <w:sz w:val="28"/>
          <w:szCs w:val="28"/>
        </w:rPr>
        <w:t xml:space="preserve">задания, на основании решения руководителя учреждения, может быть установлена премия за выполнение важного и особо важного задания. Конкретный размер премии устанавливается приказом руководителя учреждения в пределах экономии фонда оплаты труда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При определении в учреждении размеров стимулирующих выплат, порядка и условий их применения учитывается мнение выборного профсоюзного </w:t>
      </w:r>
      <w:r>
        <w:rPr>
          <w:rFonts w:ascii="Times New Roman" w:hAnsi="Times New Roman" w:cs="Times New Roman"/>
          <w:sz w:val="28"/>
          <w:szCs w:val="28"/>
        </w:rPr>
        <w:t xml:space="preserve">или иного представительного органа работников.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труда, установленной Положением об оплате труда работников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</w:t>
      </w:r>
      <w:r>
        <w:rPr>
          <w:rFonts w:ascii="Times New Roman" w:hAnsi="Times New Roman" w:cs="Times New Roman"/>
          <w:sz w:val="28"/>
          <w:szCs w:val="28"/>
        </w:rPr>
        <w:t xml:space="preserve"> В состав комиссии по установлению стимулирующих выплат работникам учреждения включается представитель первичной профсоюзной организации по предложению комитета первичной профсоюзной организации либо представитель иного представительного органа работников.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оплаты труда руководителей учреждений, заместителей руководителей и главных бухгалтеров.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труда, установленной настоящим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договор с руково</w:t>
      </w:r>
      <w:r>
        <w:rPr>
          <w:rFonts w:ascii="Times New Roman" w:hAnsi="Times New Roman" w:cs="Times New Roman"/>
          <w:sz w:val="28"/>
          <w:szCs w:val="28"/>
        </w:rPr>
        <w:t xml:space="preserve">дителем учреждения заключается на основе типовой формы трудового договора, утвержденной постановлением Правительства Российской Федерации от 12.04.2013 № 329 «О типовой форме трудового договора с руководителем государственного (муниципального) учреждения».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Условия оплаты труда заместителей руководителя учрежде</w:t>
      </w:r>
      <w:r>
        <w:rPr>
          <w:rFonts w:ascii="Times New Roman" w:hAnsi="Times New Roman" w:cs="Times New Roman"/>
          <w:sz w:val="28"/>
          <w:szCs w:val="28"/>
        </w:rPr>
        <w:t xml:space="preserve">ния и главного бухгалтера устанавливаются трудовым договором между руководителем учреждения и заместителями руководителя учреждения, главным бухгалтером в соответствии с системой оплаты труда, установленной Положением об оплате труда работников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договор с заместителем руководителя, главным бухгалтером заключается на основе примерной </w:t>
      </w:r>
      <w:hyperlink r:id="rId15" w:tooltip="consultantplus://offline/ref=57F132E5631BC934C54890A7A533EDB6FA8331B125E2175651C79611808E3B10A5D459AE28D6631991E516410789CCA69BE45006F0E8AADBMDTFD" w:history="1">
        <w:r>
          <w:rPr>
            <w:rFonts w:ascii="Times New Roman" w:hAnsi="Times New Roman" w:cs="Times New Roman"/>
            <w:sz w:val="28"/>
            <w:szCs w:val="28"/>
          </w:rPr>
          <w:t xml:space="preserve">формы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договора с работником государственного (муниципального) учр</w:t>
      </w:r>
      <w:r>
        <w:rPr>
          <w:rFonts w:ascii="Times New Roman" w:hAnsi="Times New Roman" w:cs="Times New Roman"/>
          <w:sz w:val="28"/>
          <w:szCs w:val="28"/>
        </w:rPr>
        <w:t xml:space="preserve">еждения, в соответствии с приложением № 3 к Программе поэтапного совершенствования системы оплаты труда в государственных (муниципальных) учреждениях на 2012 - 2018 годы, утвержденной распоряжением Правительства Российской Федерации от 26.11.2012 № 2190-р.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 Размеры должностных окладов руководителей учреждений устанавливаются в соответствии с приказом № 878 по группам по оплате труда руководителей.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Размеры должностных окладов заместителей руководителей, учреждений устанавливаются руководителями учреждений на 10-30 процентов ниже должностного оклада руководителей этих учреждений с учетом сложности и объема выполняемой работы.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Отнесение учреждения к группе по оплате труда руководителей осуществляется приказом министерства труда и социаль</w:t>
      </w:r>
      <w:r>
        <w:rPr>
          <w:rFonts w:ascii="Times New Roman" w:hAnsi="Times New Roman" w:cs="Times New Roman"/>
          <w:sz w:val="28"/>
          <w:szCs w:val="28"/>
        </w:rPr>
        <w:t xml:space="preserve">ного развития Новосибирской области по критериям, утвержденным приказом министерства труда и социального развития Новосибирской области. Критерии устанавливаются исходя из показателей, характеризующих учреждение и определяющих сложность труда руководителя.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Выполнение руководителями учреждений, их заместителями, главными бухгалтерами дополнительной работы по совмещению и внутреннему совместительству разрешается в случае замены временно отсутствующего специалиста по основной деятельности. Решение о ра</w:t>
      </w:r>
      <w:r>
        <w:rPr>
          <w:rFonts w:ascii="Times New Roman" w:hAnsi="Times New Roman" w:cs="Times New Roman"/>
          <w:sz w:val="28"/>
          <w:szCs w:val="28"/>
        </w:rPr>
        <w:t xml:space="preserve">боте по совмещению и внутреннему совместительству в отношении руководителей учреждений принимаются министром труда и социального развития Новосибирской области (далее – министр), заместителей руководителей и главных бухгалтеров – руководителями учреждений.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Врачам - руководителям учреждений и их заместителям - врачам разрешается в иск</w:t>
      </w:r>
      <w:r>
        <w:rPr>
          <w:rFonts w:ascii="Times New Roman" w:hAnsi="Times New Roman" w:cs="Times New Roman"/>
          <w:sz w:val="28"/>
          <w:szCs w:val="28"/>
        </w:rPr>
        <w:t xml:space="preserve">лючительных случаях по решению министра вести в учреждениях, в штате которых они состоят,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 Руководителям учреждений, их заместителям и главным бухгалтерам учреждений могут устанавливаться выплаты компенсационного характера, предусмотренные перечнем выплат компенсационного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актера, применяемых в учреждении в соответствии с законодательными и нормативными правовыми актами Российской Федерации и Новосибирской области. При установлении компенсационных выплат характеристика условий труда должна быть отражена в трудовых договорах.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Надбавка за качественные показатели эффективности деятельности и премии по итогам календарного периода устанавливается руководителям учреждений по результатам выполнения качественных показателей эффективности деятельности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50. </w:t>
      </w:r>
      <w:r>
        <w:rPr>
          <w:rFonts w:ascii="Times New Roman" w:hAnsi="Times New Roman" w:cs="Times New Roman"/>
          <w:sz w:val="28"/>
          <w:szCs w:val="28"/>
        </w:rPr>
        <w:t xml:space="preserve">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 Качественные показатели эффективности деятельности государственных бюджетных и автономных учреждений, за исключением ГАУ НСО «Центр детского, семейного отдыха и оздоровления «ВСЕКАНИКУЛЫ», мощностью более 600 койко-мест при нали</w:t>
      </w:r>
      <w:r>
        <w:rPr>
          <w:rFonts w:ascii="Times New Roman" w:hAnsi="Times New Roman" w:cs="Times New Roman"/>
          <w:sz w:val="28"/>
          <w:szCs w:val="28"/>
        </w:rPr>
        <w:t xml:space="preserve">чии обособленного структурного подразделения (обособленных структурных подразделений)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207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8"/>
        <w:gridCol w:w="2768"/>
        <w:gridCol w:w="5170"/>
        <w:gridCol w:w="170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vAlign w:val="center"/>
            <w:textDirection w:val="lrTb"/>
            <w:noWrap w:val="false"/>
          </w:tcPr>
          <w:p>
            <w:pPr>
              <w:pStyle w:val="953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(нарастающим итогом: I квартал, I полугодие, 9 месяцев, год) при отсутствии объективных факторов (чрезвычайные ситуации, карантин, проведение ремонтных работ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- 95%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90% до 94,9%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85% до 89,9%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80% до 84,9%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менее 80%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 учреждения и проживающих (пребывающих) в нем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Оснащенность учреждения помещениями, оборудованием, в том числе реабилитационным, техническими и иными средствами, необходимыми для качественного оказания социальных услуг и соответствующими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созданных в учреждении условий проживания и (или) оказания социальных и иных услуг установленным требованиям, в том числе: СП 2.1.3678-20 «Санитарно-эпидемиологические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2.4.3648-20 «Санитарно-эпидемиологические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воспитания и обучения, отдыха и оздоровления детей и молодежи», установленным нормативам обеспечения получателей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созданных в учреждении условий проживания и (или) оказания социальных и иных услуг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массовой заболеваемости (более 5-ти человек), надлежащая организация профилактической работы среди граждан, проживающих в стационарных учреждениях, обеспечение мер по недопущению распространения заболеваемости (инфекции)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случаев массовой заболеваемости граждан (более 5-ти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граждан качеством и доступностью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результаты независимой оценки качества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пункту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(функционирование) попечительского совета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попечительского совета и его участие в оценке качества работы учреждения, подтвержденное протоколом (протоколами) заседания (заседаний)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печительского совета. Своевременное (в течение пяти рабочих дней) размещение на сайте учреждения протокола (протоколов) заседания (заседаний) попечительского совета с результатами оценки деятельности учреждения членами попечительского совета и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516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среди граждан, а также популяризация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стендов с актуальной информацией о перечне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64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интернет-сайта и его системное сопровождение. Обеспечение своевременного размещения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пункту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предоставления государственных услуг (выполнения работ) в соответствии с государственным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в зависимости от вида учреждения, в соответствии с </w:t>
            </w:r>
            <w:hyperlink w:tooltip="#P1974" w:anchor="P197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п. 50.1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по социально-трудовой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стабильно функционирующих: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подсобного хозяйства и мастерской (мастерских)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2-х или более 2-х мастерских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3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мастерской и подсобного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2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бюджетных и внебюджетных средств, в том числе в рамках государственного задания;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расходования средств, полученных от взимания платы с граждан за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пункту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учреждения работниками, относящимися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укомплектованности от 75%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укомплектованности менее 75%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повышения квалификации работников учреждения, относящихся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сроков повышения квалификации работников (для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5 - 6 лет; для иных специалистов и социальных работников - не реже чем 1 раз в 3 - 5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целевого соотношения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оплаты труда основного и вспомогательного персонала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оплату труда основного персонала в фонде оплаты труда учреждения составляет не менее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средней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полученных учреждением от предпринимательской и иной приносящей доход деятельности (за исключением средств, поступающих от взимания платы в рамках установленного государственного задания) за отчетный квартал, среднемесячный показатель: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200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100 тыс. руб. до 200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100 тыс. руб. и не менее 50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 тыс. руб. и не 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учреждениями уголовно-исполнительной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в сфере закупочной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осуществленных закупок на сумму от 3% и более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осуществленных закупок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3%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непогашенной (неурегулированной)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первое число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1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7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V w:val="none" w:color="000000" w:sz="4" w:space="0"/>
          </w:tblBorders>
        </w:tblPrEx>
        <w:trPr/>
        <w:tc>
          <w:tcPr>
            <w:gridSpan w:val="3"/>
            <w:tcBorders>
              <w:left w:val="single" w:color="auto" w:sz="4" w:space="0"/>
              <w:right w:val="single" w:color="auto" w:sz="4" w:space="0"/>
            </w:tcBorders>
            <w:tcW w:w="8506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таблице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788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2. Качественные показатели эффективности деятельности государственных бюджетных и автономных учреждений мощностью более 600 койко-мест при отсутствии обособленного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(обособленных структурных подразделений) на расстоянии более 20 км от головного структурного подразделения либо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и автономны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мощностью 200 - 600 койко-мест при налич</w:t>
      </w:r>
      <w:r>
        <w:rPr>
          <w:rFonts w:ascii="Times New Roman" w:hAnsi="Times New Roman" w:cs="Times New Roman"/>
          <w:sz w:val="28"/>
          <w:szCs w:val="28"/>
        </w:rPr>
        <w:t xml:space="preserve">ии обособленного структурного подразделения (обособленных структурных подразделений)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745"/>
        <w:gridCol w:w="1701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государственного задания (нарастающим итогом: I квартал, I полугодие, 9 месяцев, год) при отсутствии объективных факторов (чрезвычайные ситуации, карантин, проведение ремонтных работ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- 95%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90% до 94,9%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85% до 89,9%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80% до 84,9%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менее 80%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 учреждения и проживающих (пребывающих) в нем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Оснащенность учреждения помещениями, оборудованием, в том числе реабилитационным, техническими и иными средствами, необходимыми для качественного оказания социальных услуг и соответствующими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созданных в учреждении условий проживания и (или)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и иных услуг установленным требованиям, в том числе: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ляющих продажу товаров, выполнение работ или оказание услуг», СП 2.4.3648-20 «Санитарно-эпидемиологические требования к организациям воспитания и обучения, отдыха и оздоровления детей и молодежи», установленным нормативам обеспечения получателей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созданных в учреждении условий проживания и (или) оказания социальных и иных услуг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массовой заболеваемости (более 5-ти человек), надлежащая организация профилактической работы среди граждан, проживающих в стационарных учреждениях, обеспечение мер по недопущению распространения заболеваемости (инфекции)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случаев массовой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заболеваемости граждан (более 5-ти человек)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граждан качеством и доступностью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результаты независимой оценки качества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пункту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(функционирование) попечительского совета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попечительского совета и его участие в оценке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ества работы учреждения, подтвержденное протоколом (протоколами) заседания (заседаний) попечительского совета. Своевременное (в течение пяти рабочих дней) размещение на сайте учреждения протокола (протоколов) заседания (заседаний) попечительского совета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результатами оценки деятельности учреждения членами попечительского совета и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среди граждан, а также популяризация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стендов с актуальной информацией о перечне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интернет-сайта и его системное сопровождение. Обеспечение своевременного размещения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пункту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предоставления государственных услуг (выполнения работ) в соответствии с государственным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в зависимости от вида учреждения, в соответствии с п. 50.1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по социально-трудовой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стабильно функционирующих: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подсобного хозяйства и мастерской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(мастерских)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2-х или более 2-х мастерских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мастерской и подсобного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бюджетных и внебюджетных средств, в том числе в рамках государственного задания;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расходования средств, полученных от взимания платы с граждан за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пункту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учреждения работниками, относящимися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укомплектованности от 75%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укомплектованности менее 75%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повышения квалификации работников учреждения, относящихся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сроков повышения квалификации работников (для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5 - 6 лет; для иных специалистов и социальных работников - не реже чем 1 раз в 3 - 5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полученных учреждением от предпринимательской и иной приносящей доход деятельности (за исключением средств, поступающих от взимания платы в рамках установленного государственного задания) за отчетный квартал, среднемесячный показатель: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200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100 тыс. руб. до 200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100 тыс. руб. и не менее 50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 тыс. руб. и не 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учреждениями уголовно-исполнительной системы в сфере закупочной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осуществленных закупок на сумму от 3% и более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осуществленных закупок на сумму менее 3%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непогашенной (неурегулированной)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первое число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(ежемесячно, до 5 числа месяца,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8426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таблице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723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 3. Качественные показатели эффективности деятельности государ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ственных бюджетных и автономных учреждений мощностью 200 - 600 койко-мест при отсутствии обособленного структурного подразделения (обособленных структурных подразделений) на расстоянии более 20 км от головного структурного подразделения либо государственны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автономны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мощностью менее 200 койко-мест при нали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чии обособленного структурного подразделения (обособленных структурных подразделений)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2839"/>
        <w:gridCol w:w="5025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государственного задания (нарастающим итогом: I квартал, I полугодие, 9 месяцев, год) при отсутствии объективных факторов (чрезвычайные ситуации, карантин,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ремонтных работ и др.)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- 95% и 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90% до 94,9%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85% до 89,9%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80% до 84,9%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менее 80%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комплексной безопасности учреждения и проживающих (пребывающих) в нем граждан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Оснащенность учреждения помещениями, оборудованием, в том числе реабилитационным, техническими и иными средствами, необходимыми для качественного оказания социальных услуг и соответствующими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Соответствие 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зданных в учреждении условий проживания и (или) оказания социальных и иных услуг установленным требованиям, в том числе: СП 2.1.3678-20 «Санитарно-эпидемиологические требования к эксплуатации помещений, зданий, сооружений, оборудования и транспорта, а такж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условиям деятельности хозяйствующих субъектов, осуществляющих продажу товаров, выполнение работ или оказание услуг», СП 2.4.3648-20 «Санитарно-эпидемиологические требования к организациям воспитания и обучения, отдыха и оздоровления детей и молодежи», ус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тановленным нормативам обеспечения получателей социальных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социальных услуг, порядка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созданных в учреждении условий проживания и (или) оказания социальных и иных услуг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случаев массовой заболеваемости (более 5-ти человек), надлежащая организация профилактической работы среди граждан, проживающих в стационарных учреждениях, обеспечение мер по недопущению распространения заболеваемости (инфекции)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случаев массовой заболеваемости граждан (более 5-ти человек)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граждан качеством и доступностью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Положительные результаты независимой оценки качества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szCs w:val="28"/>
                <w:lang w:eastAsia="ru-RU"/>
              </w:rPr>
            </w:r>
            <w:r>
              <w:rPr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55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регистрации и (или) своевременного (в течение пяти рабочих дней) размещения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(функционирование) попечительского совета в учреждении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попечительского совета и его участие в оценке качества работы учреждения, подтвержденное протоколом (протоколами) заседания (заседаний)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печительского совета. Своевременное (в течение пяти рабочих дней) размещение на сайте учреждения протокола (протоколов) заседания (заседаний) попечительского совета с результатами оценки деятельности учреждения членами попечительского совета и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информационно-разъяснительной работы среди граждан, а также популяризация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стендов с актуальной информацией о перечне предостав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официального интернет-сайта и его системное сопровождение.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размещения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8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Качество предоставления государственных услуг (выполнения работ) в соответствии с государственным заданием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Показатель определяется в зависимости от вида учреждения, в соответствии с п. 50.1 Соглашения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0 до 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деятельности по социально-трудовой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стабильно функционирующих: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подсобного хозяйства и мастерской (мастерских)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2-х или более 2-х мастерских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1-й мастерской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мастерской и подсобного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бюджетных и внебюджетных средств, в том числе в рамках государственного задания;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расходования средств, полученных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взимания платы с граждан за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учреждения работниками, относящимися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укомплектованности от 75% до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укомплектованности менее 75%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учреждения, относящихся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 (для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5 - 6 лет; для иных специалистов и социальных работников - не реже чем 1 раз в 3 - 5 лет)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 средней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средств, полученных учреждением от предпринимательской и иной приносящей доход деятельности (за исключением средств, поступающих от взимания платы в рамках установленного государственного задания) за отчетный квартал, среднемесячный показатель: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более 200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100 тыс. руб. до 200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100 тыс. руб. и не менее 50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50 тыс. руб. и не 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составляет менее 5%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</w:t>
            </w:r>
            <w:hyperlink r:id="rId16" w:tooltip="https://login.consultant.ru/link/?req=doc&amp;base=RLAW049&amp;n=172371" w:history="1"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Новосибирской области от 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 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с учреждениями уголовно-исполнительной системы в сфере закупочной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осуществленных закупок на сумму от 3% и более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осуществленных закупок на сумму менее 3%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непогашенной (неурегулированной) просроченной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5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9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таблице № 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683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 4. Качественные показатели эффективности деятельности государственных бюджетных и автономных учреждений мощностью менее 200 койко-мест (либо при отсутствии коечной сети) при отсутст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вии обособленного структурного подразделения (обособленных структурных подразделений)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820"/>
        <w:gridCol w:w="191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надбавки, %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- 95% и 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задания (нарастающим итогом: I квартал, I полугодие, 9 месяцев, год) при отсутствии объективных факторов (чрезвычайные ситуации, карантин, проведение ремонтных работ и др.)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90% до 94,9%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85% до 89,9%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80% до 84,9%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менее 80%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комплексной безопасности учреждения и проживающих (пребывающих) в нем граждан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Оснащенность учреждения помещениями, оборудованием, в том числе реабилитационным, техническими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иными средствами, необходимыми для качественного оказания социальных услуг и соответствующими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созданных в учреждении условий проживания и (или) оказания социальных и иных услуг установленным требованиям, в том числе: СП 2.1.3678-20 «Санитарно-эпидемиологические требования к эксплуатации помещений, зданий,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сооружений, оборудования и транспорта, а также условиям деятельности хозяйствующих субъектов, осуществ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ляющих продажу товаров, выполнение работ или оказание услуг», СП 2.4.3648-20 «Санитарно-эпидемиологические требования к организациям воспитания и обучения, отдыха и оздоровления детей и молодежи", установленным нормативам обеспечения получателей социальных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созданных в учреждении условий проживания и (или) оказания социальных и иных услуг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случаев массовой заболеваемости (более 5-ти человек), надлежащая организация профилактической работы среди граждан, проживающих в стационарных учреждениях, обеспечение мер по недопущению распространения заболеваемости (инфекции)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случаев массовой заболеваемости граждан (более 5-ти человек)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граждан качеством и доступностью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Положительные результаты независимой оценки качества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40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(функционирование) попечительского совета в учреждении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попечительского совета и его участие в оценке качества работы учреждения, подтвержденное протоколом (протоколами) заседания (заседаний)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печительского совета. Своевременное (в течение пяти рабочих дней) размещение на сайте учреждения протокола (протоколов) заседания (заседаний) попечительского совета с результатами оценки деятельности учреждения членами попечительского совета и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разъяснительной работы среди граждан, а также популяризация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стендов с актуальной информацией о перечне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официального интернет-сайта и его системное сопровождение. Обеспечение своевременного размещения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Качество предоставления государственных услуг (выполнения работ) в соответствии с государственным заданием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Показатель определяется в зависимости от вида учреждения, в соответствии с </w:t>
            </w:r>
            <w:hyperlink r:id="rId17" w:tooltip="https://login.consultant.ru/link/?req=doc&amp;base=RLAW049&amp;n=173420&amp;dst=101826" w:history="1"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п. 50.1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0 до 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деятельности по социально-трудовой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стабильно функционирующих: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подсобного хозяйства и мастерской (мастерских)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2-х или более 2-х мастерских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1-й мастерской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мастерской и подсобного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бюджетных и внебюджетных средств, в том числе в рамках государственного задания;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расходования средств, полученных от взимания платы с граждан за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учреждения работниками, относящимися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укомплектованности от 75% до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укомплектованности менее 75%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учреждения, относящихся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 (для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5 - 6 лет; для иных специалистов и социальных работников - не реже чем 1 раз в 3 - 5 лет)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средств, полученных учреждением от предпринимательской и иной приносящей доход деятельности (за исключением средств, поступающих от взимания платы в рамках установленного государственного задания) за отчетный квартал, среднемесячный показатель: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более 200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100 тыс. руб. до 200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100 тыс. руб. и не менее 50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50 тыс. руб. и не 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 45-ОЗ «О социальной защите инвалидов в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Достижение результатов, установленных планом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(«дорожной картой»),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направленных на развитие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с учреждениями уголовно-исполнительной системы в сфере закупочной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осуществленных закупок на сумму от 3% и более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осуществленных закупок на сумму менее 3% совокупного годового объема закупок заказчика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непогашенн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53"/>
              <w:ind w:left="-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8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таблице № 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585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 5. Каче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ственные показатели эффективности деятельности ГБУ НСО «Центр развития семейных форм устройства детей-сирот и детей, оставшихся без попечения родителей» для установления надбавок руководителю учреждения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820"/>
        <w:gridCol w:w="1910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государственного задания (нарастающим итогом: I квартал, I полугодие, 9 месяцев, год) при отсутствии объективных факторов (чрезвычайные ситуации, карантин, проведение ремонтных работ и др.)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- 95% и 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90% до 94,9%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85% до 89,9%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80% до 84,9%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менее 80%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комплексной безопасности учреждения и проживающих (пребывающих) в нем граждан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Оснащенность учреждения помещениями, оборудованием, в том числе реабилитационным, техническими и иными средствами, необходимыми для качественного оказания социальных услуг и соответствующими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Соответствие созданных в учрежден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ии условий проживания и (или) оказания социальных и иных услуг установленным требованиям, в том числе: СП 2.1.3678-20 «Санитарно-эпидемиологические требования к эксплуатации помещений, зданий, сооружений, оборудования и транспорта, а также условиям деятель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ности хозяйствующих субъектов, осуществляющих продажу товаров, выполнение работ или оказание услуг», СП 2.4.3648-20 «Санитарно-эпидемиологические требования к организациям воспитания и обучения, отдыха и оздоровления детей и молодежи», установленным нормат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ивам обеспечения получателей социальных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Несоответствие созданных в учреждении условий проживания и (или) оказания социальных и иных услуг установленным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граждан качеством и доступностью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Положительные результаты независимой оценки качества предоставления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40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(функционирование) попечительского совета в учреждении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печительского совета и его участие в оценке качества работы учреждения, подтвержденное протоколом (протоколами) заседания (заседаний) попечительского совета. Своевременное (в течение пяти рабочих дней) размещение на сайте учреждения протокола (протоколов)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заседания (заседаний) попечительского совета с результатами оценки деятельности учреждения членами попечительского совета и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1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информационно-разъяснительной работы среди граждан, а также популяризация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стендов с актуальной информацией о перечне предоставляемых услуг, в том числе на платной основе, о поставщиках социальных услуг, о правах и обязанностях граждан, получающих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1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социальные услуги, о составе попечительского (наблюдательного) совета, о действующем социальном законодательстве и с другой информацией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официального интернет-сайта и его системное сопровождение. Обеспечение своевременного размещения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прошедших подготовку, от общего числа обратившихся в учреждение граждан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94%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замещающих семей, получивших методическую помощь по вопросам детско-родительских отношений, от общего количества замещающих семей, обратившихся в учреждение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специалистов по сопровождению замещающих семей, прошедших супервизию в учреждении за отчетный период, от общего количества специалистов по сопровождению замещающих семей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80% до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50% до 79%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замещающих семей находящихся на сопровождении с заключением договора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10% до 30%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5% до 9%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5%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98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деятельности по методической помощи семьям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2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предоставления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бюджетных и внебюджетных средств, в том числе в рамках государственного задания;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расходования средств, полученных от взимания платы с граждан за предоставление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93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szCs w:val="28"/>
                <w:lang w:eastAsia="ru-RU"/>
              </w:rPr>
            </w:r>
            <w:r>
              <w:rPr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учреждения работниками, относящимися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укомплектованности от 75% до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укомплектованности менее 75%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учреждения, относящихся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 (для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5 - 6 лет; для иных специалистов и социальных работников - не реже чем 1 раз в 3 - 5 лет)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управленческой деятельности </w:t>
            </w:r>
            <w:hyperlink r:id="rId18" w:tooltip="https://login.consultant.ru/link/?req=doc&amp;base=RLAW049&amp;n=173420&amp;dst=101780" w:history="1"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21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эффективное проведение на высоком уровне аналитики материалов «исследование благополучия детей» в замещающих семьях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99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99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конкурсов и массовых мероприятий для замещающих семей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9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Новосибирской области от 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 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непогашенной (неурегулированной)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53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5"/>
        </w:trPr>
        <w:tc>
          <w:tcPr>
            <w:gridSpan w:val="3"/>
            <w:tcW w:w="82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таблице № 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575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 6. Качественные показатели эффективности деятельности ГКУ НСО «Соцтехсервис» для установления надбавок руководителю учреждения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4678"/>
        <w:gridCol w:w="191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комплексной безопасности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Оснащенность учреждения вычислительной техникой, оргтехникой, серверным оборудованием и транспортными средствами для качественного выполнения работ и (или) исполнения государственных 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менее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сотрудников министе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рства, подведомственных министерству учреждений, получивших методическую помощь по работе программного обеспечения, от общего числа сотрудников министерства, подведомственных министерству учреждений, обратившихся в ГКУ НСО «Соцтехсервис»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менее 100%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представления месячных, квартальных и годовых отчетов, планов, статистической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других сведений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качество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 и форм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пункту 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70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учреждения, выполняющих работы и (или) исполняющих государственные функции в соответствии с уставом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труда учреждения составляет от 60 до 69 процентов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управленческой деятельности </w:t>
            </w:r>
            <w:hyperlink r:id="rId19" w:tooltip="https://login.consultant.ru/link/?req=doc&amp;base=RLAW049&amp;n=173420&amp;dst=101780" w:history="1"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Эффективность осуществления бухгалтерского обслуживания государственных учреждений,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обоснованных замечаний по ведению бухгалтерского обслуживания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обоснованных замечаний по ведению бухгалтерского обслуживания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Достижение результатов,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 20.12.2019 № 287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непогашенной (неурегулированной)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 по таблице № 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515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 7. Качественные показатели эффективности деятельности ГАУ НСО «Центр детского, семейного отдыха и оздоровления «ВСЕКАНИКУЛЫ» для установления надбавок руководителю учреждения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tbl>
      <w:tblPr>
        <w:tblW w:w="509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45"/>
        <w:gridCol w:w="4568"/>
        <w:gridCol w:w="1984"/>
      </w:tblGrid>
      <w:tr>
        <w:tblPrEx/>
        <w:trPr>
          <w:trHeight w:val="1995"/>
        </w:trPr>
        <w:tc>
          <w:tcPr>
            <w:shd w:val="clear" w:color="auto" w:fill="auto"/>
            <w:tcW w:w="29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государственного задания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(нарастающим итогом: I квартал, I полугодие, 9 месяцев, год) при отсутствии объективных факторов (чрезвычайные ситуации, карантин, проведение ремонтных работ и др.)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- 95%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90% до 94,9%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85% до 89,9%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80% до 84,9%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менее 80%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4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комплексной безопасности филиалов учреждения и проживающих (пребывающих) в них детей и сотрудников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и эффективное функционирование пожарной сигнализации и «тревожной кнопки», 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массовой заболеваемости обслуживаемых детей инфекционными заболеваниями, травматизма детей в отчетном периоде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ствие случаев массовой заболеваемости (более 5-ти человек), случаев травматизма детей вследствие надлежащей организации профилактической работы, должного выполнения работниками филиала обязанностей по недопущению распространения заболеваемости, травматизма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случаев массовой заболеваемости детей (более 5-ти человек), случаев травматизма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мероприятий для детей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инклюзивных программ в филиалах учреждения, а также в государственных и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реализации инклюзивных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инклюзивных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разработок инклюзивных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региональных, областных, районных, внутриведомственных мероприятиях, семинарах, круглых столах, проводимых в сфере детского отдыха и оздоровления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 отчетный период: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2-х и более мероприятиях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1 мероприятии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принимали участие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5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конкурсах социально значимых проектов, проводимых в интересах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конкурсах социально значимых проектов, проводимых в сфере детского отдыха и оздоровления, в сфере организации жизнедеятельности детей, находящихся в трудной жизненной ситуации,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8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участвовали в конкурсах социально значимых проектов, проводимых в сфере детского отдыха и оздоровления, в сфере организации жизнедеятельности детей, находящихся в трудной жизненной ситуации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информационно-разъяснительной работы среди граждан, информационная открытость и информационная активность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официального интернет-сайта и его системное сопровождение. Размещение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актуальной информации о деятельности учреждения на официальных страницах учреждения в социальных сетях, в информационно-телекоммуникационной сети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«Интернет» (госпабликах) Отсутствие актуальной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новостей о деятельности учреждения на сайте учреждения за отчетный период: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 и более новостей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3 - 5 новостей новости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3 новостей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пресс-релизов на сайте министерства за отчетный период: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 пресс-релиза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 пресс-релиз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пресс-релизы не размещались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публикации (публикаций) в СМИ о деятельности учреждения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публикаций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стендов с актуальной инфор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мацией о перечне предоставляемых услуг, в том числе на платной основе, о правах и обязанностей граждан, получающих услуги, о составе попечительского (наблюдательного) совета, о действующем законодательстве в сфере организации отдыха детей и их оздоровления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стендов с актуальной информацией о перечне предоставляемых услуг, правах и обязанностях граждан, получающих услуги; действующем законодательстве в сфере организации отдыха детей и их оздоровления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устаревшей, недостоверной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Изготовление, распространение издательской и полиграфической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издательской и полиграфической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43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Своевременность предоставления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месячных, квартальных и годовых отчетов,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планов финансово-хозяйственной деятельности, статистической отчетности,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других сведений, их качество и достоверность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сведений, отчетов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0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Целевое и эффективное использование бюджетных и внебюджетных средств, в том числе в рамках государственного задания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58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87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5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80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менее 70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Рост средней 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7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964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предпринимательской и иной приносящей доход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Объем средств, полученных учреждением от предпринимательской и иной приносящей доход деятельности (за исключением средств, поступающих от взимания платы в рамках установленного государственного задания) за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отчетный квартал, среднемесячный показатель: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03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более 5 млн руб.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 2 млн руб. до 5 млн руб.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7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2 млн руб. и не менее 400 тыс. руб.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23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400 тыс. руб. и не менее 100 тыс. руб.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62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100 тыс. руб. и не менее 30 тыс. руб.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30 тыс. руб.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высокотехнологичной продукции составляет 5% и более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92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(функционирование) попечительского совета в учреждении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попечительского совета и его участие в оценке качества работы учреждения, подтвержденное протоколом (протоколами) заседания (заседаний) по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печительского совета. Своевременное (в течение пяти рабочих дней) размещение на сайте учреждения протокола (протоколов) заседания (заседаний) попечительского совета с результатами оценки деятельности учреждения членами попечительского совета и рекомендаций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своевременным (в течение пяти рабочих дней после подписания протокола (протоколов) заседания (заседаний) наблюдательного совета) размещением на сайте учреждения протокола (протоколов) заседания (заседаний) наблюдательного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Своевременное размещение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0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размещения (несвоевременное размещение)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штата работниками, обеспечивающими круглогодичную деятельность учреждения в соответствии со штатным расписанием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укомплектованности от 75% до 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укомплектованности менее 75%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3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созданию базы данных об отдыхе и оздоровлении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Создание, ведение и использование баз данных и информационных ресурсов об отдыхе и оздоровлении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Невыполнение одного из критериев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 повышения квалификации сотрудников учреждения и его филиалов, осуществляющих деятельность на постоянной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 повышения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Несоблюдение сроков повышения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9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участие в осуществлении закупок, товаров, работ и услуг в соответствии с федеральным законодательством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сроков, установленных федеральным законодательством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9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сроков, установленных федеральным законодательством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43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работ по укреплению и оснащению материально-технической базы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Своевременное составление ведомости объема работ, подготовка и согласование смет, своевременное заключение соглашений, проведение ремонтных работ (реконструкции) зданий, сооружений, помещений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91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Невыполнение критериев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4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учреждения помещениями, оборудованием и иными средствами для качественного оказания услуг и соответствующими установленным требованиям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созданных в филиалах условий оказания услуг и иных услуг действующим требованиям (Санитарные правила СП 2.4.3648-20 «Санитарно-эпидемиологические требования к организациям воспитания и обучения, отдыха и оздоровления детей и молодежи»)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Несоответствие созданных в филиалах условий проживания и (или) оказания услуг установленным требованиям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6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Удовлетворенность граждан качеством и доступностью предоставления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жалоб, поступивших от граждан (организаций), на качество оказания услуг, признанных обоснованными по результатам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проверок министерства и (или) контрольно-надзорных органов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56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жалоб, поступивших от граждан (организаций), на качество оказания услуг, признанных обоснованными по результатам проверок министерства и (или) контрольно-надзорных органов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98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Об утверждении перечня товарных рынков для содействия развитию конкуренции и плана меро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взаимодействия с учреждениями уголовно-исполнительной системы в сфере закупочной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осуществленных закупок на сумму от 3% и более совокупного годового объема закупок заказчика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осуществленных закупок на сумму менее 3% совокупного годового объема закупок заказчика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штата сезонными работниками в соответствии со штатным расписанием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укомплектованности от 75% до 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укомплектованности менее 75%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детей, занятых в творческих, спортивных кружках и секциях, от общего числа детей, находящихся в филиалах учреждения,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95% до 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80% до 94%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70% до 79%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6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менее 70%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4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вожатых, успешно прошедших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полный курс обучения или имеющих опыт работы вожатым не менее 3 месяцев, от общего числа вожатых, трудоустроенных в филиалах учреждения,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- 90%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70% до 89%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менее 70%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97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самовольных уходов детей с территорий филиалов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официально зарегистрированных случаев самовольных уходов детей с территории филиалов, проводящих оздоровительные или профильные смены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случаев самовольных уходов детей с территории филиалов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28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профессионального уровня сезонных работников тарифно-квалификационным требованиям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Профессиональный уровень работников соответствует тарифно-квалификационным требованиям более чем на 80%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9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Профессиональный уровень работников соответствует тарифно-квалификационным требованиям на 75 - 79,9%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68"/>
        </w:trPr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Профессиональный уровень работников соответствует тарифно-квалификационным требованиям ниже чем на 75%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1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15"/>
        </w:trPr>
        <w:tc>
          <w:tcPr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3" w:type="pct"/>
            <w:textDirection w:val="lrTb"/>
            <w:noWrap w:val="false"/>
          </w:tcPr>
          <w:p>
            <w:pPr>
              <w:pStyle w:val="953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83" w:type="pct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15"/>
        </w:trPr>
        <w:tc>
          <w:tcPr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gridSpan w:val="3"/>
            <w:shd w:val="clear" w:color="auto" w:fill="auto"/>
            <w:tcW w:w="40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таблице № 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774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ежемесячных стимулирующих выплат руководителю ГАУ НСО «Центр детского, семейного отдыха и оздоровления «ВСЕКАНИКУЛЫ»</w:t>
      </w:r>
      <w:r>
        <w:rPr>
          <w:rFonts w:ascii="Times New Roman" w:hAnsi="Times New Roman" w:cs="Times New Roman"/>
          <w:sz w:val="28"/>
          <w:szCs w:val="28"/>
        </w:rPr>
        <w:t xml:space="preserve"> за качественные показатели эффективности деятельности в периоды, не относящиеся к периодам летней оздоровительной кампании, не применяются качественные показатели эффективности деятельности, указанные в строках 27, 28, 29, 30, 31 таблицы № 7 подпункта 50.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8. Качественные показ</w:t>
      </w:r>
      <w:r>
        <w:rPr>
          <w:rFonts w:ascii="Times New Roman" w:hAnsi="Times New Roman" w:cs="Times New Roman"/>
          <w:sz w:val="28"/>
          <w:szCs w:val="28"/>
        </w:rPr>
        <w:t xml:space="preserve">атели эффективности деятельности Центров социальной поддержки населения, за исключением ГКУ НСО «Центр социальной поддержки населения г. Новосибирска», для установления надбавок руководителям учреждений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79"/>
        <w:gridCol w:w="4743"/>
        <w:gridCol w:w="1983"/>
      </w:tblGrid>
      <w:tr>
        <w:tblPrEx/>
        <w:trPr>
          <w:trHeight w:val="1845"/>
        </w:trPr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9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учреждением сроков предоставления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нарушений сроков предоставления государственных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8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нарушения (нарушений) сроков предоставления государственных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1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информационно-разъяснительной работы среди граждан, а также популяризация деятельности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стендов с актуальной информацией о перечне предоставляемых услуг; правах и обязанностях граждан, получающих услуги; действующем социальном законодательстве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в учреждении стендов с актуальной информацией о перечне предоставляемых услуг; правах и обязанностях граждан, получающих услуги; действующем социальном законодательстве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официальном сайте и страницах учреждения в социальных сетях информационно-телекоммуникационной сети «Интернет» (госпабликах) актуальной информации о работе учреждения, взаимодействие с населением через госпаблики без нарушений сроков размещения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в госпабликах актуальной информации о работе учреждения, нарушений сроков размещения информации при взаимодействии с населением через госпаблики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56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Своевременность представления месячных, квартальных и годовых отчетов, планов,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41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использования бюджетных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64"/>
        </w:trPr>
        <w:tc>
          <w:tcPr>
            <w:shd w:val="clear" w:color="auto" w:fill="auto"/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92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кассового плана учреждения не менее 98%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кассового плана учреждения менее 98%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3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115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учреждения, выполняющих работы и (или) исполняющих государственные функции в соответствии с уставом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вспомогательного персонала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99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6"/>
        </w:trPr>
        <w:tc>
          <w:tcPr>
            <w:shd w:val="clear" w:color="auto" w:fill="auto"/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непогашенной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(неурегулированной)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7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75"/>
        </w:trPr>
        <w:tc>
          <w:tcPr>
            <w:tcW w:w="2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75"/>
        </w:trPr>
        <w:tc>
          <w:tcPr>
            <w:tcW w:w="2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32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90"/>
        </w:trPr>
        <w:tc>
          <w:tcPr>
            <w:gridSpan w:val="3"/>
            <w:shd w:val="clear" w:color="auto" w:fill="auto"/>
            <w:tcW w:w="40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таблице № 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416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9. Качественные показатели эффективности деятельности ГКУ НСО «Центр социальной поддержки населения г. Новосибирска» для установления надбавок руководителю учреждения за качественные показатели эффективности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21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010"/>
        <w:gridCol w:w="4557"/>
        <w:gridCol w:w="2124"/>
      </w:tblGrid>
      <w:tr>
        <w:tblPrEx/>
        <w:trPr>
          <w:trHeight w:val="1770"/>
        </w:trPr>
        <w:tc>
          <w:tcPr>
            <w:shd w:val="clear" w:color="auto" w:fill="auto"/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12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учреждением сроков предоставления государственных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нарушений сроков предоставления государственных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10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нарушения (нарушений) сроков предоставления государственных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91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информационно-разъяснительной работы среди граждан, а также популяризация деятельности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стендов с актуальной информацией о перечне предоставляемых услуг; правах и обязанностях граждан, получающих услуги; действующем социальном законодательстве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91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в учреждении стендов с актуальной информацией о перечне предоставляемых услуг; правах и обязанностях граждан, получающих услуги; действующем социальном законодательстве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91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официальном сайте и страницах учреждения в социальных сетях информационно-телекоммуникационной сети «Интернет» (госпабликах) актуальной информации о работе учреждения, взаимодействие с населением через госпаблики без нарушений сроков размещения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91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в госпабликах актуальной информации о работе учреждения, нарушений сроков размещения информации при взаимодействии с населением через госпаблики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29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31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Своевременность представления месячных,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квартальных и годовых отчетов, планов,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сроков, установленных порядков и форм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2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102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использования бюджетных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667"/>
        </w:trPr>
        <w:tc>
          <w:tcPr>
            <w:shd w:val="clear" w:color="auto" w:fill="auto"/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нарушений финансово-хозяйственной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05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превышения средних потребительских цен на отдельные виды товаров по Новосибирской области, официально опубликованных Новосибирскстатом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07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Превышение средних потребительских цен на отдельные виды товаров по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кассового плана учреждения не менее 98%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кассового плана учреждения менее 98%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150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0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учреждения, выполняющих работы и (или) исполняющих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государственные функции в соответствии с уставом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8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23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80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3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высокотехнологичной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4"/>
        </w:trPr>
        <w:tc>
          <w:tcPr>
            <w:shd w:val="clear" w:color="auto" w:fill="auto"/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31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638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72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Достижение результатов, установленных планом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Достигнуты значения, установленные постановлением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непогашенной (неурегулированной)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 и/или иным контрактам (договорам), возникшей в результате действий (бездействия) руководителя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86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118"/>
        </w:trPr>
        <w:tc>
          <w:tcPr>
            <w:tcW w:w="3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своевременного (ежемесячно, до 5 числа месяца, следующего за отчетным) и полного размещения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55"/>
        </w:trPr>
        <w:tc>
          <w:tcPr>
            <w:tcW w:w="3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5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Несвоевременное и (или) неполное размещение на информационном ресурсе ССТУ.РФ информации о результатах рассмотрения обращений, поступивших в учреждение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03"/>
        </w:trPr>
        <w:tc>
          <w:tcPr>
            <w:gridSpan w:val="3"/>
            <w:shd w:val="clear" w:color="auto" w:fill="auto"/>
            <w:tcW w:w="397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таблице № 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501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10. Качественные показатели эффективности деятельности ГАУ НСО «Центр развития социальной сферы» для установления надбавок руководителю учреждения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21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045"/>
        <w:gridCol w:w="4563"/>
        <w:gridCol w:w="2124"/>
      </w:tblGrid>
      <w:tr>
        <w:tblPrEx/>
        <w:trPr>
          <w:trHeight w:val="1587"/>
        </w:trPr>
        <w:tc>
          <w:tcPr>
            <w:shd w:val="clear" w:color="auto" w:fill="auto"/>
            <w:tcW w:w="29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государственного задания (нарастающим итогом: I квартал, I полугодие, 9 месяцев, год) при отсутствии объективных факторов (чрезвычайные ситуации, карантин, проведение ремонтных работ и др.)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- 95%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90% до 94,9%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85% до 89,9%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от 80% до 84,9%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менее 80%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458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комплексной безопасности учреждения и пребывающих в нем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аждан и работников учреждения за отчетный период, своевременная подготовка к отопительному сезону (отсутствие не 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6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Оснащенность учреждения помещениями, оборудованием, в том числе техническими и иными средствами, необходимыми для качественного оказания социальных услуг и соответствующими установленным требованиям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Соответствие созданных в учреждении условий оказания услуг установленным требованиям, в том чис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ле: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Несоответствие созданных в учреждении условий оказания услуг установленным требованиям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76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информационной открытости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федеральных порталах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254"/>
        </w:trPr>
        <w:tc>
          <w:tcPr>
            <w:shd w:val="clear" w:color="auto" w:fill="auto"/>
            <w:tcBorders>
              <w:bottom w:val="single" w:color="auto" w:sz="4" w:space="0"/>
            </w:tcBorders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федеральных порталах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функционирование наблюдательного совета в учреждении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наблюдательного совета и проведение его заседаний не реже 1 раза в квартал, подтвержденное протоколами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60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протоколов наблюдательного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62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информационно-разъяснительной работы среди граждан, а также популяризация деятельности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стендов с актуальной информацией о перечне предоставляемых услуг,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платн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другой информацией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116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учреждении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официального интернет-сайта и его системное сопровождение. Обеспечение своевременного размещения информации о деятельности учреждения на официальных страницах учреждения в социальных сетях, в информационно-телекоммуникационной сети «Интернет» (госпабликах)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14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Невыполнение одного или нескольких из вышеуказанных критериев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70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пункту 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граждан, получивших методическую помощь, от общего количества граждан, обратившихся в учреждение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95%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95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граждан, прошедших курсы повышения квалификации, от общего числа по программам повышения квалификации за отчетный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95% - 100%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95%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специалистов, принявших участие в организации и проведении семинаров, практикумов и тренингов в отчетном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периоде, от общего числа специалистов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70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73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318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использования бюджетных и внебюджетных средств, в том числе в рамках государственного задания; эффективность расходования средств, полученных от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деятельности, приносящий доход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898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просроченной дебиторской и (или)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учреждения работниками, относящимися к основному персоналу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укомплектованности от 75% до 100%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укомплектованности менее 75%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79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 повышения квалификации работников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учреждения, относящихся к основному персоналу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установленных сроков повышения квалификации работников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реже чем 1 раз в 3 - 5 лет)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Несоблюдение установленных сроков повышения квалификации работников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18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целевого соотношения фонда оплаты труда основного и вспомогательного персонала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не менее 70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0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расходов на оплату труда основного персонала в фонде оплаты труда учреждения составляет от 60 до 69 процентов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W w:w="29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Эффективность управленческой деятельности &lt;*&gt;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Рост средней 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42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государственных нужд путем закупок инновационной и высокотехнологичной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5% и более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6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Доля инновационной и высокотехнологической продукции составляет менее 5% от общего объема закупок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41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учреждением квоты по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 45-ОЗ «О социальной защите инвалидов в Новосибирской области»)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Квота по приему на работу инвалидов не выполняется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Достижение результатов, установленных планом мероприятий («дорожной картой»), направленных на развитие конкуренции 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 достигнуты значения, установленные постановлением Губернатора Новосибирской области от 20.12.2019 № 287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00"/>
        </w:trPr>
        <w:tc>
          <w:tcPr>
            <w:shd w:val="clear" w:color="auto" w:fill="auto"/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непогаш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енной (неурегулированной) просроченной кредиторской задолженности по государственным договорам на закупку товаров, работ, услуг для обеспечения государственных нужд и/или иным договорам, возникшей в результате действий (бездействия) руководителя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на первое число каждого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shd w:val="clear" w:color="auto" w:fill="auto"/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2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 первое число месяца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gridSpan w:val="3"/>
            <w:shd w:val="clear" w:color="auto" w:fill="auto"/>
            <w:tcW w:w="397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таблице №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0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575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Не назначается в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наличия конфликтных ситуаций в коллективе (обоснованных обращений работников учреждения в министерство, другие органы);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нарушения сроков (низкого качества) выполнения приказов, поручений, заданий министра или уполномоченных должностных лиц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непредоставления, предоставления неполной, некачественной отчетности и информации в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нарушений и недостатков, выявленных в ходе проверок и ревизий;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применения к руководителю учреждения дисциплинарного взыскания;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неудовлетворительной оценки деятельности учреждения по итогам заседания балансовой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несохранения достигнутого соотношения между уров</w:t>
      </w:r>
      <w:r>
        <w:rPr>
          <w:rFonts w:ascii="Times New Roman" w:hAnsi="Times New Roman" w:cs="Times New Roman"/>
          <w:sz w:val="28"/>
          <w:szCs w:val="28"/>
        </w:rPr>
        <w:t xml:space="preserve">нем оплаты труда отдельных категорий работников учреждения и уровнем средней заработной платы в Новосибирской области (в случае если работники учреждения относятся к категориям работников, определенным Указами Президента Российской Федерации от 07.05.2012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597 </w:t>
      </w:r>
      <w:r>
        <w:rPr>
          <w:rFonts w:ascii="Times New Roman" w:hAnsi="Times New Roman" w:cs="Times New Roman"/>
          <w:sz w:val="28"/>
          <w:szCs w:val="28"/>
        </w:rPr>
        <w:t xml:space="preserve">«О мероприятиях по реализации государственной социальной политики», от 28.12.2012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1688 </w:t>
      </w:r>
      <w:r>
        <w:rPr>
          <w:rFonts w:ascii="Times New Roman" w:hAnsi="Times New Roman" w:cs="Times New Roman"/>
          <w:sz w:val="28"/>
          <w:szCs w:val="28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еже</w:t>
      </w:r>
      <w:r>
        <w:rPr>
          <w:rFonts w:ascii="Times New Roman" w:hAnsi="Times New Roman" w:cs="Times New Roman"/>
          <w:sz w:val="28"/>
          <w:szCs w:val="28"/>
        </w:rPr>
        <w:t xml:space="preserve">месячных стимулирующих выплат руководителю учреждения, участвующего в методическом сопровождении и координации деятельности учреждений социального обслуживания с целью реализации мероприятий регионального проекта «Старшее поколение» национального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Семь</w:t>
      </w:r>
      <w:r>
        <w:rPr>
          <w:rFonts w:ascii="Times New Roman" w:hAnsi="Times New Roman" w:cs="Times New Roman"/>
          <w:sz w:val="28"/>
          <w:szCs w:val="28"/>
        </w:rPr>
        <w:t xml:space="preserve">я», дополнительно к качественным показателям эффективности деятельности учреждений для установления надбавок руководителям учреждений за качественные показат</w:t>
      </w:r>
      <w:r>
        <w:rPr>
          <w:rFonts w:ascii="Times New Roman" w:hAnsi="Times New Roman" w:cs="Times New Roman"/>
          <w:sz w:val="28"/>
          <w:szCs w:val="28"/>
        </w:rPr>
        <w:t xml:space="preserve">ели эффективности деятельности, указанным в таблицах подпункта 50, применяются следующие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11. Качеств</w:t>
      </w:r>
      <w:r>
        <w:rPr>
          <w:rFonts w:ascii="Times New Roman" w:hAnsi="Times New Roman" w:cs="Times New Roman"/>
          <w:sz w:val="28"/>
          <w:szCs w:val="28"/>
        </w:rPr>
        <w:t xml:space="preserve">енные показатели эффективности деятельности учреждений, участвующих в методическом сопровождении и координации деятельности учреждений социального обслуживания с целью реализации мероприятий регионального проекта «Старшее поколение» национального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Семья</w:t>
      </w:r>
      <w:r>
        <w:rPr>
          <w:rFonts w:ascii="Times New Roman" w:hAnsi="Times New Roman" w:cs="Times New Roman"/>
          <w:sz w:val="28"/>
          <w:szCs w:val="28"/>
        </w:rPr>
        <w:t xml:space="preserve">», для установления надбавок руководителям учреждений за качественные показатели эффективности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96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2"/>
        <w:gridCol w:w="4961"/>
        <w:gridCol w:w="2693"/>
      </w:tblGrid>
      <w:tr>
        <w:tblPrEx/>
        <w:trPr>
          <w:trHeight w:val="791"/>
        </w:trPr>
        <w:tc>
          <w:tcPr>
            <w:shd w:val="clear" w:color="auto" w:fill="auto"/>
            <w:tcW w:w="2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показателя, критерий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35"/>
        </w:trPr>
        <w:tc>
          <w:tcPr>
            <w:shd w:val="clear" w:color="auto" w:fill="auto"/>
            <w:tcW w:w="25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деятельности координационного центра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учета граждан, нуждающихся в долговременном уходе: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2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Создана база 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2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Отсутствует база 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auto"/>
            <w:tcW w:w="2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сроков, установленных порядков и форм представления ежемесячной отчетности о реализации мероприятий системы долговременного ухода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84"/>
        </w:trPr>
        <w:tc>
          <w:tcPr>
            <w:shd w:val="clear" w:color="auto" w:fill="auto"/>
            <w:tcW w:w="2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Несоблюдение сроков, установленных порядков и форм представления ежемесячной отчетности о реализации мероприятий системы долговременного ухода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2"/>
        </w:trPr>
        <w:tc>
          <w:tcPr>
            <w:shd w:val="clear" w:color="auto" w:fill="auto"/>
            <w:tcW w:w="2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100% сотрудников учреждений социальной сферы, обратившихся за методической помощью, получили консультативное сопровождение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03"/>
        </w:trPr>
        <w:tc>
          <w:tcPr>
            <w:shd w:val="clear" w:color="auto" w:fill="auto"/>
            <w:tcW w:w="25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100% сотрудников учреждений социальной сферы, обратившихся за методической помощью, получили консультативное сопровождение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5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обучения работников учреждений социальной сферы по определению индивидуальной потребности граждан в социальном обслуживании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100% работников, подавших заявки, прошли обучение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87"/>
        </w:trPr>
        <w:tc>
          <w:tcPr>
            <w:tcW w:w="25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Менее 100% работников, подавших заявку, прошли обучение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ежемесячных стимулирующих выплат руководителю дома-инте</w:t>
      </w:r>
      <w:r>
        <w:rPr>
          <w:rFonts w:ascii="Times New Roman" w:hAnsi="Times New Roman" w:cs="Times New Roman"/>
          <w:sz w:val="28"/>
          <w:szCs w:val="28"/>
        </w:rPr>
        <w:t xml:space="preserve">рната (пансионата) общего типа для граждан пожилого возраста и инвалидов, реализующего мероприятия по предупреждению когнитивных нарушений у лиц пожилого и старческого возраста, дополнительно к качественным показателям эффективности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для установления надбавок руководителям учреждений за качественные показатели эффективности деятельности, указанным в таблицах подпункта 50, применяются качественные показатели эффективности деятельности учреждений, указанные в нижеследующей таблице № 12.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12. Качественн</w:t>
      </w:r>
      <w:r>
        <w:rPr>
          <w:rFonts w:ascii="Times New Roman" w:hAnsi="Times New Roman" w:cs="Times New Roman"/>
          <w:sz w:val="28"/>
          <w:szCs w:val="28"/>
        </w:rPr>
        <w:t xml:space="preserve">ые показатели эффективности деятельности домов-интернатов (пансионатов) общего типа для граждан пожилого возраста и инвалидов, реализующих мероприятия по предупреждению когнитивных нарушений у лиц пожилого и старческого возраста, для установления надбавок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 за качественные показатели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61"/>
        <w:gridCol w:w="3260"/>
        <w:gridCol w:w="2618"/>
      </w:tblGrid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53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показателя, 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предупреждению когнитивных нарушений у лиц пожилого и старческого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953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проживающих в учреждении граждан пенсионного возраста, участвующих в программах по предупреждению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618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деменции, в общей численности проживающих граждан пенсионного возраста: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5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90% - 100%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pStyle w:val="953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5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70% - 89%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5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50% - 69%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pStyle w:val="953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7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3761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95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61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2144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50.1. Показатели качества предоставления государственных услуг (выполнения работ), в соответствии с государственным заданием, в зависимости от вида учреждения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дом-интернат (пансионат) общего типа для граждан пожилого возраста и инвалидов, специальный дом-интернат для граждан пожилого возраста и инвалидов, дом-интернат интенсивного ухода (милосердия) для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41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ind w:hanging="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вовлеченных в процесс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реабилитации, от общего числа инвалидов, имеющих показания к реабилитации по заключению медицинской комиссии учреждения (органов медико-социальной экспертизы), находящихся на обслуживании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психоневрологический интернат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вовлеченных в процесс реабилитации, от общего числа инвалидов, имеющих показания к реабилитации по заключению медицинской комиссии учреждения (органов медико-социальной экспертизы), находящихся на обслуживании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вовлеченных в образовательный процесс, от общего числа инвалидов, имеющих показания к специальному образованию по заключению психолого-медико-педагогической комиссии, находящихся на обслуживании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30% до 49%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дом-интернат для детей-инвалидов и молодых инвалидов, имеющих психические расстройства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детей-инвалидов, вовлеченных в процесс реабилитации, от общего числа детей-инвалидов, имеющих показания к реабилитации по заключению медицинской комиссии учреждения, находящихся на обслуживании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детей-инвалидов, вовлеченных в образовательный процесс, от общего числа детей-инвалидов, имеющих показания к специальному образованию по заключению психолого-медико-педагогической комиссии, находящихся на обслуживании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инвалидов (старше 18 лет), обеспеченных жилой площадью, поставленных на очередь на получение жилья, от общего числа молодых инвалидов, прошедших курс социальной реабилитации в учреждении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трудоустроенных молодых инвалидов от общего числа молодых инвалидов, прошедших курс социальной реабилитации в учреждении за отчетный период (дееспособные)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20% до 49%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геронтологический центр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социальные услуги и имеющих положительный результат (повышение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комплексный центр социальной реабилитации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прошедших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реабилитации и имеющих положительные результаты по критериям жизнедеятельности (повышение физической активности, нормализация психологического статуса), от общего числа лиц, прошедших курс социальной реабилитации в учреждении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комплексный центр социальной адаптации для инвалидов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прошедших в учреждении за отчетный период курс социальной реабилитации в стационарной форме,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которых социальным консилиумом учреждения принято решение о приобретении ими профессиональных навыков, навыков самостоятельной жизни, в общей численности инвалидов, прошедших в учреждении в отчетном периоде курс социальной реабилитации в стационарной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детей-инвалидов, инвалидов, прошедших в учреждении за отчетный период курс социальной реабилитации в полустационарной форме, в отношении которых социальным консилиу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 учреждения принято решение о положительном результате в улучшении соматического и психологического здоровья, в общей численности детей-инвалидов, инвалидов, прошедших в учреждении за отчетный период курс социальной реабилитации в полустационарной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10% до 19%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реабилитационный центр для детей и подростков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с ограниченными возможностями, получивших навыки самообслуживания, от общего числа детей, прошедших курс социальной реабилитации за отчетный период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с ограниченными возможностями, получивших коммуникативные навыки, от общего числа детей, прошедших курс социальной реабилитации за отчетный период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детей с ограниченными возможностями, обученных приемам ухода за детьми-инвалидами, от общего числа родителей детей-инвалидов, прошедших курс реабилитации за отчетный период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социально-реабилитационный центр для несовершеннолетних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несовершеннолетних, совершивших самовольные уходы из учреждения в отчетном периоде, от общего числа несовершеннолетних, находящихся на обслуживании в учреждении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5% до 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несовершеннолетних, завершивших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30% до 54%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центр социальной помощи семье и детям «Семья»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несовершеннолетних, совершивших самовольные уходы из учреждения в отчетном периоде, от общего числа несовершеннолетних, находящихся на обслуживании в учреждении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5% до 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несовершеннолетних, завершивших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30% до 54%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областной центр социальной помощи семье и детям «Радуга»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жизнеустроенных женщин от общей численности женщин, признанных нуждающимися в социальном обслуживании, получивших социальную помощь в стационарных условиях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49%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семей с детьми, детей, имеющих положительный результат в улучшении соматического и психологического здоровья, от общей численности семей с детьми, детей, получивших социальную помощь в полустационарных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69%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областной комплексный центр социальной адаптации граждан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социальную помощь, от общего числа обратившихся в учреждение граждан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вовлеченных в процесс реабилитации, от общего числа инвалидов, имеющих показания к реабилитации по заключению медицинской комиссии учреждения (органов медико-социальной экспертизы), находящихся на обслуживании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получивших свидетельство о прохождении курсов по управлению автомобилями с ручным управлением, от общего числа инвалидов, прошедших обучение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дом ветеранов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пожилого возраста и инвалидов, охваченных социальным обслуживанием, от общего числа граждан пожилого возраста и инвалидов, нуждающихся в социальном обслуживании, проживающих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95%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94%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комплексный социально-оздоровительный центр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социальные услуги и имеющих положительный результат (укрепление здоровья, 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65%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64%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областной центр социальной помощи семье и детям «Морской залив»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2268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детей, в том числе с ограни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ченными возможностями, имеющих положительный результат в улучшении соматического и психологического здоровья, от общего числа родителей детей, в том числе с ограниченными возможностями, прошедших курс социальной реабилитации за отчетный период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69%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в том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 ограниченными возможностями, имеющих положительный результат в улучшении соматического и психологического здоровья, от общего числа детей, в том числе с ограниченными возможностями, прошедших курс социальной реабилитации за отчетный период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69%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</w:t>
      </w:r>
      <w:r>
        <w:rPr>
          <w:rFonts w:ascii="Times New Roman" w:hAnsi="Times New Roman" w:cs="Times New Roman"/>
          <w:sz w:val="28"/>
          <w:szCs w:val="28"/>
        </w:rPr>
        <w:t xml:space="preserve">Утратил силу. - Дополнительное соглашение от </w:t>
      </w:r>
      <w:r>
        <w:rPr>
          <w:rFonts w:ascii="Times New Roman" w:hAnsi="Times New Roman" w:cs="Times New Roman"/>
          <w:sz w:val="28"/>
          <w:szCs w:val="28"/>
        </w:rPr>
        <w:t xml:space="preserve">27.</w:t>
      </w:r>
      <w:r>
        <w:rPr>
          <w:rFonts w:ascii="Times New Roman" w:hAnsi="Times New Roman" w:cs="Times New Roman"/>
          <w:sz w:val="28"/>
          <w:szCs w:val="28"/>
        </w:rPr>
        <w:t xml:space="preserve">02.2025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16) </w:t>
      </w:r>
      <w:r>
        <w:rPr>
          <w:color w:val="000000"/>
          <w:sz w:val="28"/>
          <w:szCs w:val="28"/>
        </w:rPr>
        <w:t xml:space="preserve">центр социальной помощи семье и детям «Детство»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809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2552"/>
        <w:gridCol w:w="2262"/>
      </w:tblGrid>
      <w:tr>
        <w:tblPrEx/>
        <w:trPr/>
        <w:tc>
          <w:tcPr>
            <w:tcBorders>
              <w:bottom w:val="single" w:color="000000" w:sz="4" w:space="0"/>
            </w:tcBorders>
            <w:tcW w:w="5098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Показатель</w:t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Значение показателя</w:t>
            </w:r>
            <w:r/>
          </w:p>
        </w:tc>
        <w:tc>
          <w:tcPr>
            <w:tcBorders>
              <w:bottom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Размер стимулирующей выплаты руководителю учреждения, % от должностного оклада</w:t>
            </w:r>
            <w:r/>
          </w:p>
        </w:tc>
      </w:tr>
      <w:tr>
        <w:tblPrEx/>
        <w:trPr>
          <w:trHeight w:val="571"/>
        </w:trPr>
        <w:tc>
          <w:tcPr>
            <w:tcBorders>
              <w:right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несовершеннолетних, в том числе с ограниченными возможностями здоровья, жизнеустроенных, либо возвращенных в семью, от общего числа несовершеннолетних, получивших социальные услуги в учреждении за отчетный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100%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1"/>
        </w:trPr>
        <w:tc>
          <w:tcPr>
            <w:tcBorders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35% до 49%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35%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right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</w:t>
            </w:r>
            <w:r>
              <w:rPr>
                <w:sz w:val="28"/>
                <w:szCs w:val="28"/>
              </w:rPr>
              <w:t xml:space="preserve"> семей с детьми, детей, имеющих положительный результат в улучшении соматического и психологического здоровья по решению социального консилиума учреждения, от общей численности семей с детьми, детей, получивших социальную помощь в полустационарных условиях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70% до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1"/>
        </w:trPr>
        <w:tc>
          <w:tcPr>
            <w:tcBorders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50% до 69%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50%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509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специалистов, принявших участие в организации и проведении семинаров (лекций, тренингов) в отчетном периоде, от общего числа специалистов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20%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tcBorders>
              <w:right w:val="single" w:color="auto" w:sz="4" w:space="0"/>
            </w:tcBorders>
            <w:tcW w:w="5098" w:type="dxa"/>
            <w:vMerge w:val="continue"/>
            <w:textDirection w:val="lrTb"/>
            <w:noWrap w:val="false"/>
          </w:tcPr>
          <w:p>
            <w:pPr>
              <w:pStyle w:val="963"/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менее 20%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pStyle w:val="963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3"/>
        <w:spacing w:before="0" w:beforeAutospacing="0" w:after="0" w:afterAutospacing="0"/>
      </w:pPr>
      <w:r/>
      <w:r/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Комиссия по установлению стимулирующих выплат руководителям учреждений, созданная в министерстве, ежеквартально оцени</w:t>
      </w:r>
      <w:r>
        <w:rPr>
          <w:rFonts w:ascii="Times New Roman" w:hAnsi="Times New Roman" w:cs="Times New Roman"/>
          <w:sz w:val="28"/>
          <w:szCs w:val="28"/>
        </w:rPr>
        <w:t xml:space="preserve">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учреждения, которые устанавливаются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 Премии по итогам календарного периода.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 по результатам выполнения качественных показателей эффективности деятельности учреждения может быть установлена премия по итогам кал</w:t>
      </w:r>
      <w:r>
        <w:rPr>
          <w:rFonts w:ascii="Times New Roman" w:hAnsi="Times New Roman" w:cs="Times New Roman"/>
          <w:sz w:val="28"/>
          <w:szCs w:val="28"/>
        </w:rPr>
        <w:t xml:space="preserve">ендарного периода, конкретный размер которой устанавливается приказом министерства в пределах экономии фонда оплаты труда учреждения на основании предложений комиссии по установлению стимулирующих выплат руководителям учреждений, созданной в министерстве.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 Премии за выполнение важных и особо важных заданий.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учреждения, в случае выполнения важного или особо важного </w:t>
      </w:r>
      <w:r>
        <w:rPr>
          <w:rFonts w:ascii="Times New Roman" w:hAnsi="Times New Roman" w:cs="Times New Roman"/>
          <w:sz w:val="28"/>
          <w:szCs w:val="28"/>
        </w:rPr>
        <w:t xml:space="preserve">задания, на основании решения министра, может быть установлена премия за выполнение важного и особо важного задания. Конкретный размер премии устанавливается приказом министерства в пределах экономии фонда оплаты труда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 Надбавки за ученую степень, за почетные звания, за продолжительность непрерывной работы руководителям учреждений устанавливаются в размерах и на условиях, установленных настоящим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 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2541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1) нарушения в</w:t>
      </w:r>
      <w:r>
        <w:rPr>
          <w:rFonts w:ascii="Times New Roman" w:hAnsi="Times New Roman" w:cs="Times New Roman"/>
          <w:sz w:val="28"/>
          <w:szCs w:val="28"/>
        </w:rPr>
        <w:t xml:space="preserve"> течение календарного периода, по итогам которого осуществляется оценка результатов выполнения качественных показателей эффективности деятельности учреждения (далее - оценка результатов), сроков выплаты заработной платы и иных выплат работникам учреждения;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</w:t>
      </w:r>
      <w:r>
        <w:rPr>
          <w:rFonts w:ascii="Times New Roman" w:hAnsi="Times New Roman" w:cs="Times New Roman"/>
          <w:sz w:val="28"/>
          <w:szCs w:val="28"/>
        </w:rPr>
        <w:t xml:space="preserve">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2544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4) наличия на </w:t>
      </w:r>
      <w:r>
        <w:rPr>
          <w:rFonts w:ascii="Times New Roman" w:hAnsi="Times New Roman" w:cs="Times New Roman"/>
          <w:sz w:val="28"/>
          <w:szCs w:val="28"/>
        </w:rPr>
        <w:t xml:space="preserve">седьмой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одного из месяцев в течение календарного периода, по итогам которого осуществляется оценка результатов,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возникновения в течение календарного периода, по итогам которого осуществляется оценка результатов, чрезвычайной ситуации в учреждении по вине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При наличии случаев, определенных подпунктами 1-5 пункта 56 Соглашения, надбавка за качественные показатели эффективности деятельности и премии по итогам календарного пе</w:t>
      </w:r>
      <w:r>
        <w:rPr>
          <w:rFonts w:ascii="Times New Roman" w:hAnsi="Times New Roman" w:cs="Times New Roman"/>
          <w:sz w:val="28"/>
          <w:szCs w:val="28"/>
        </w:rPr>
        <w:t xml:space="preserve">риода руководителю учреждения не начисляются,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 При наступлении у руководителя учреждения права на изменение размера оплаты труда в период</w:t>
      </w:r>
      <w:r>
        <w:rPr>
          <w:rFonts w:ascii="Times New Roman" w:hAnsi="Times New Roman" w:cs="Times New Roman"/>
          <w:sz w:val="28"/>
          <w:szCs w:val="28"/>
        </w:rPr>
        <w:t xml:space="preserve">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 Предельный уровень соотношений среднемесячной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заработной платы руководителей, заместителей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руководителей, главных бухгалтеров и среднемесячной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заработной платы работников учреждений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Предельный уровень соотношения среднемесячной заработной платы руководителей учреждений, формируемой за счет всех ис</w:t>
      </w:r>
      <w:r>
        <w:rPr>
          <w:rFonts w:ascii="Times New Roman" w:hAnsi="Times New Roman" w:cs="Times New Roman"/>
          <w:sz w:val="28"/>
          <w:szCs w:val="28"/>
        </w:rPr>
        <w:t xml:space="preserve">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размере: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руководителей учреждений и среднемесячной заработной платы работников,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Предельный уровень соотношения среднемесячной заработной платы заместителей руководителей, главных бухгалтеров государственных учреждений, формируемой за счет всех ис</w:t>
      </w:r>
      <w:r>
        <w:rPr>
          <w:rFonts w:ascii="Times New Roman" w:hAnsi="Times New Roman" w:cs="Times New Roman"/>
          <w:sz w:val="28"/>
          <w:szCs w:val="28"/>
        </w:rPr>
        <w:t xml:space="preserve">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размере: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>
        <w:tblPrEx/>
        <w:trPr>
          <w:trHeight w:val="1898"/>
        </w:trPr>
        <w:tc>
          <w:tcPr>
            <w:tcW w:w="4673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соотношения среднемесячной заработной платы заместителей руководителей, главных бухгалтеров учреждений и среднемесячной заработной платы работников,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 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 (без учета заработной платы соответствующего руководителя, его заместителей, главного бухгалтера).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 Определение среднемесячной заработной платы руководителей, их заместителей,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</w:t>
      </w:r>
      <w:r>
        <w:rPr>
          <w:rFonts w:ascii="Times New Roman" w:hAnsi="Times New Roman" w:cs="Times New Roman"/>
          <w:sz w:val="28"/>
          <w:szCs w:val="28"/>
        </w:rPr>
        <w:t xml:space="preserve">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платы», а также указаниями по заполнению форм федерального статистического наблюдени</w:t>
      </w:r>
      <w:r>
        <w:rPr>
          <w:rFonts w:ascii="Times New Roman" w:hAnsi="Times New Roman" w:cs="Times New Roman"/>
          <w:sz w:val="28"/>
          <w:szCs w:val="28"/>
        </w:rPr>
        <w:t xml:space="preserve">я «Сведения о численности и заработной плате работников»,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/>
      <w:bookmarkStart w:id="3" w:name="P2590"/>
      <w:r/>
      <w:bookmarkEnd w:id="3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. 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На должностные оклады, оклады, компенсац</w:t>
      </w:r>
      <w:r>
        <w:rPr>
          <w:rFonts w:ascii="Times New Roman" w:hAnsi="Times New Roman" w:cs="Times New Roman"/>
          <w:sz w:val="28"/>
          <w:szCs w:val="28"/>
        </w:rPr>
        <w:t xml:space="preserve">ионные и стимулирующие выплаты начисляется районный коэффициент в размере 1,25 в соответствии с постановлением администрации Новосибирской области от 20.11.1995 № 474 «О введении повышенного районного коэффициента к заработной плате на территории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Руководители учреждений: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устанавливают работникам учреждений нормированные задания;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используют экономию фонда оплаты труда, полученную за счет пр</w:t>
      </w:r>
      <w:r>
        <w:rPr>
          <w:rFonts w:ascii="Times New Roman" w:hAnsi="Times New Roman" w:cs="Times New Roman"/>
          <w:sz w:val="28"/>
          <w:szCs w:val="28"/>
        </w:rPr>
        <w:t xml:space="preserve">оведения мероприятий по оптимизации штатной численности и изменению трудового процесса, на увеличение заработной платы других работников, в том числе, в приоритетном порядке, работников, поименованных в Указах Президента Российской Федерации от 07.05.2012 </w:t>
      </w:r>
      <w:hyperlink r:id="rId20" w:tooltip="consultantplus://offline/ref=57F132E5631BC934C54890A7A533EDB6FA893EB025E6175651C79611808E3B10B7D401A22AD07F1A90F0401041MDTFD" w:history="1">
        <w:r>
          <w:rPr>
            <w:rFonts w:ascii="Times New Roman" w:hAnsi="Times New Roman" w:cs="Times New Roman"/>
            <w:sz w:val="28"/>
            <w:szCs w:val="28"/>
          </w:rPr>
          <w:t xml:space="preserve">№ 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политики», от 28.12.2012 № 1688 «О некоторых мерах по реализации государственной политики в сфере защиты детей-сирот и детей, оставшихся без попечения родителей».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тарифному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подведомственных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и профессий работников учреждений,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относящихся к основному персоналу в отрасли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3690"/>
        <w:gridCol w:w="5949"/>
      </w:tblGrid>
      <w:tr>
        <w:tblPrEx/>
        <w:trPr/>
        <w:tc>
          <w:tcPr>
            <w:tcBorders>
              <w:bottom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 наименования учреждений, подведомственных министерству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594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 и профессий работников, относящихся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Психоневрологические интернаты; дома-интернаты (пансионаты) для престарелых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нвалидов; специальные дома-интернаты для граждан пожилого возраста и инвалидов; дома-интернаты интенсивного ухода (милосердия) для граждан пожилого возраста и инвалидов; дом-интернат для детей-инвалидов и молодых инвалидов, имеющих психические расстройства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Врачи, средний медицинский и фармацевтический персонал, 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медицинский персонал, педагогические работники, заведующий отделением (социальной службой), специалист по социальной работе, специалист по реабилитации инвалидов, социальный работник, психолог, культорганизатор, провизор, консультант по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инвалидов, медицинский психолог, няня, инструктор по трудовой терапии, инструктор по труду, инструктор по физической культуре, инструктор производственного обучения рабочих массовых профессий, кухонный рабочий, повар, официант, буфетчик, мойщ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посуды, изготовитель пищевых полуфабрикатов, кастелянша, заведующий прачечной, машинист по стирке и ремонту спецодежды, гладильщик, водитель (занятый перевозкой контингента), парикмахер, библиотекарь, юрисконсульт (занятый оказанием услуг контингенту),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по уходу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администратор, швея, пекарь, рабочий по уходу за животными, дежурный по режиму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машинист (кочегар)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ктор-методист по адаптивной физической культуре, инструктор по адаптивной физической культуре, ассистент по оказанию технической помощи, уборщик служебных помещений, начальник отдела (финансово-экономической службы), начальник отдела (хозяйственной службы)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единого консультационного центра, 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центры социальной адаптации для инвалидов; геронтологические центры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(социальной службой), врачи, средний медицинский и фармацевтический персонал, младший медицинский персонал, педагогические работни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ки, консультант по профессиональной реабилитации инвалидов, специалист по социальной работе, социолог, психолог, социальный работник, культорганизатор, медицинский психолог, сурдопереводчик, няня, кухонный рабочий, повар, официант, буфетчик, кастелянша,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ведующий прачечной, машинист по стирке и ремонту спецодежды, гладильщик, водитель (занятый перевозкой контингента), парикмахер, библиотекарь, юрисконсульт (занятый оказанием услуг контингенту), лифтер (занятый оказанием услуг контингенту), специалист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офессиональной ориентации инвалидов, изготовитель пищевых полуфабрикатов, специалист по реабилитации инвалидов, методист, руководитель координационного центра, заместитель директора по социальной работе, системный администратор, уборщик служебных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кладовщик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дома для одиноких граждан пожилого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(социальной службой), специалист по социальной работе,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работник, врачи, средний медицинский и фармацевтический персонал, младший медицинский персонал, няня, бухгалтер (по приему жилищно-коммунальных платежей), культорганизатор, медицинский психолог, работники отдела организации адресной помощи: товаровед,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складом, юрисконсульт (занятый оказанием услуг контингенту),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по уходу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учреждения (отделения) для несовершеннолетних, нуждающихся в социальной реабилитации; центры помощи семье и детям; комплексные учреждения для обслуживания детей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(социальной службой), врачи, средний медицинский и фармацевтический персонал, младший медицинский персонал, педагогические работники, психолог, социальный работник, няня, специалист по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работе, юрисконсульт, помощник воспитателя, медицинский психолог, культорганизатор, дежурный по режиму, кухонный рабочий, повар, кастелянша, машинист по стирке и ремонту спецодежды, водитель (занятый перевозкой контингента), уборщик служебных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содействия семейному устройству детей-сирот и детей, оставшихся без попечения родителей; центры содейст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 семейному устройству детей-сирот и детей, оставшихся без попечения родителей, постинтернатного сопровождения; центры помощи детям, оставшимся без попечения родителей; реабилитационные центры для детей и подростков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(социальной службой), врачи, средний медицинский и фармацевтический персонал, младший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персонал, педагогические работники, помощник воспитателя, социальный работник, психолог, специалист по социальной работе, младший воспитатель, медицинский психолог, педагог-организатор, инструктор по труду, инструктор по физической культуре, юрисконсуль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(занятый оказанием услуг контингенту), дежурный по режиму, заведующий производством (шеф-повар), повар, кухонный рабочий, кастелянша, машинист по стирке и ремонту спецодежды, специалист по реабилитации инвалидов, водитель (занятый перевозкой контингента)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кладовщик, консультант по профессиональной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развития семейных форм устройства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(социальной службой), юрисконсульт (занятый оказанием услуг контингенту), программист, педагогические работники, медицинский психолог,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НСО «Центр детского,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отдыха и оздоровления «ВСЕКАНИКУЛЫ»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культорганизатор, врачи, средний и младший медицинский персонал, вожатый, психолог, инструктор по физической культуре, кухонный рабочий, повар, мойщик посуды, пекарь, машинист по стирке и ремонту спецодежды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социальной (социокультурной) реабилитации инвалидов, комплексные центры социальной реабилитации, комплексные центры социальной адаптации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службой), педагогические работники, врачи, средний медицинский и фармацевтический персонал, младший медицинский персонал, специалист по социальной работе, социальный работник, няня, специалист по реабилитации инвалидов, консультант по 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реабилитации инвалидов, культорганизатор, сурдопереводчик, медицинский 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лог, кухонный рабочий, повар, машинист по стирке и ремонту спецодежды, юрисконсульт (занятый оказанием услуг контингенту), специалист по профессиональной ориентации инвалидов, горничная, кастелянша, буфетчик, дежурный по режиму, уборщик служебных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НСО «Соцтехсервис»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отдела, заместитель начальника отдела, программист, инженер, специалист по охране труда, юрисконсульт,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истратор, заведующий складом, заведующий хозяйством, специалист по социальной работе, экономист, бухгалтер, документовед, специалист по кадрам, специалист гражданской обороны, диспетчер, водитель автомобиля, уборщик служебных помещений, уборщик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tooltip="consultantplus://offline/ref=57F132E5631BC934C54890A7A533EDB6FF8B37B625EA175651C79611808E3B10A5D459AE28D6611B95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специалист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пожарной профилактике,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соответствии с профессиональными стандартами: «</w:t>
            </w:r>
            <w:hyperlink r:id="rId22" w:tooltip="consultantplus://offline/ref=57F132E5631BC934C54890A7A533EDB6F88D31B124E6175651C79611808E3B10A5D459AE28D6611B96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Системный администратор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информационно-коммуникационных систем» (утвержден приказом Минтруда России от 29.09.2020 № 680н), </w:t>
            </w:r>
            <w:hyperlink r:id="rId23" w:tooltip="consultantplus://offline/ref=57F132E5631BC934C54890A7A533EDB6F98A36B525E7175651C79611808E3B10A5D459AE28D6611A9F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«Системный аналитик»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(утвержден приказом Минтруда России от 27.04.2023 № 367н), «</w:t>
            </w:r>
            <w:hyperlink r:id="rId24" w:tooltip="consultantplus://offline/ref=57F132E5631BC934C54890A7A533EDB6F88D31BB26E6175651C79611808E3B10A5D459AE28D6611B96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Специалист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технической поддержке информационно-коммуникационных систем» (утвержден приказом Минтруда России от 29.09.2020 № 675н), «</w:t>
            </w:r>
            <w:hyperlink r:id="rId25" w:tooltip="consultantplus://offline/ref=57F132E5631BC934C54890A7A533EDB6FF8F37BA25E1175651C79611808E3B10A5D459AE28D6611A9F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Специалист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установлению выплат социального характера» (утвержден приказом Минтруда России от 28.10.2015 № 787н), </w:t>
            </w:r>
            <w:hyperlink r:id="rId26" w:tooltip="consultantplus://offline/ref=57F132E5631BC934C54890A7A533EDB6F98A35B223E1175651C79611808E3B10A5D459AE28D6611A9F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«Графический дизайнер»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(утвержден приказом Минтруда России от 17.01.2017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40н)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социальной поддержки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бухгалтер, начальник отдела, должности в соответствии с профессиональным </w:t>
            </w:r>
            <w:hyperlink r:id="rId27" w:tooltip="consultantplus://offline/ref=57F132E5631BC934C54890A7A533EDB6FF8F37BA25E1175651C79611808E3B10A5D459AE28D6611A9FE516410789CCA69BE45006F0E8AADBMDTFD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стандартом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«Специалист по организации и установлению выплат социального характера», утвержденным приказом Минтруда России от 28.10.2015 № 787н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социально-оздоровительные центры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Врачи, средний медицинский и фармацевтический персонал, педагогические работники, специалист по социальной работе, психолог, медицинский психолог, кухонный рабочий, повар, официант, буфетчик,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кастелянша, машинист по стирке и ремонту спецодежды, гладильщик, водитель (занятый перевозкой контингента), библиотекарь, юрисконсульт (занятый оказанием услуг контингенту), изготовитель пищевых полуфабрикатов, специалист по реабилитации инвалидов, лифтер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(занятый оказанием услуг контингенту), заведующий производством (шеф-повар), мойщик посуды, администратор, горничная, инструктор по адаптивной физической культуре, музыкальный руководитель, методист, заведующая медицинским подразделением, 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Новосибирской области «Центр развития социальной сферы»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94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клиентских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рвисов и продуктов, ведущий психолог, психолог, специалист по связям с общественностью, администратор, начальник отдела развития компетенций руководителей и специалистов социальной сферы, специалист по развитию и обучению персонала, методист,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методист, эксперт, ведущий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ГАУ НСО «Центр детского, семейного 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«ВСЕКАНИКУЛЫ» в соответствии с пунктом 9 Соглашения распространяется только на период действия оздоровительной компании.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отраслевому тарифному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подведомственных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Размеры должностных окладов по должностям руководителей, специалистов и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окладов по профессиям рабочих.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квалификационным группам должностей работников, занятых в сфере здравоохранения и предоставления социальных услуг, утвержденным приказом Министерства здравоохранения и социального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31.03.2008 № 149н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 Профессиональная квалификационная группа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«Должности специалистов третьего уровня в учреждениях здравоохранения и осуществляющих предоставление социальных услуг»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89"/>
        <w:gridCol w:w="4536"/>
        <w:gridCol w:w="2835"/>
      </w:tblGrid>
      <w:tr>
        <w:tblPrEx/>
        <w:trPr>
          <w:trHeight w:val="607"/>
        </w:trPr>
        <w:tc>
          <w:tcPr>
            <w:tcW w:w="268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профессиональной ориентации инвалидов; специалист по социальной работе; инструктор-методист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contextualSpacing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психолог; специалист по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53"/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профессиональной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53"/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P413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Таблица № 2. Профессиональная квалификационная группа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«Должности руководителей в учреждениях здравоохранения и осуществляющих предоставление социальных услуг»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41"/>
        <w:gridCol w:w="3119"/>
      </w:tblGrid>
      <w:tr>
        <w:tblPrEx/>
        <w:trPr>
          <w:trHeight w:val="66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941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6941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(социальной службой)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квалификационным группам должностей медицинских и фармацевтических работников, утвержденным приказом Министерства здравоохранения и социального развития Российской Федерации от 06.08.2007 № 526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3 Профессиональная квалификационная группа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«Медицинский и фармацевтический персонал первого уровня»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89"/>
        <w:gridCol w:w="4539"/>
        <w:gridCol w:w="2832"/>
      </w:tblGrid>
      <w:tr>
        <w:tblPrEx/>
        <w:trPr/>
        <w:tc>
          <w:tcPr>
            <w:tcW w:w="268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Санитарка; санитарка (мойщица); младшая медицинская сестра по уходу за больными; сестра-хозяйка; фасовщица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 4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«Средний медицинский 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8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53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832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53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физкультуре; медицинский статистик; инструктор по трудовой терапии; медицинская сестра стерилизационной; младший фармацевт; медицинский дезинфектор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Лаборант; медицинская сестра диетическая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сестра; 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массажу; зубной техник; медицинский лабораторный техник (фельдшер-лаборант); фармацевт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Акушерка; фельдшер; зубной врач; медицинская сестра процедурной; медицинская сестра - анестезист; медицинская сестра перевязочной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53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фармацевт (фельдшер, зубной техник); старшая медицинская сестра (акушерка)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 5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«Врачи и провизоры»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268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3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2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53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832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квалификационным группам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№ 570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6 Профессиональная квалификационная группа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«Должности работников культуры, искусства и кинематографии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звена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83"/>
        <w:gridCol w:w="2977"/>
      </w:tblGrid>
      <w:tr>
        <w:tblPrEx/>
        <w:trPr/>
        <w:tc>
          <w:tcPr>
            <w:tcBorders>
              <w:bottom w:val="single" w:color="auto" w:sz="4" w:space="0"/>
            </w:tcBorders>
            <w:tcW w:w="708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7083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кружка, любительского объединения, клуба по интересам; аккомпаниатор; 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 7 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auto" w:sz="4" w:space="0"/>
            </w:tcBorders>
            <w:tcW w:w="7083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3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квалификационным группам должностей работников образования, утвержденным приказом Министерства здравоохранения и социального развития Российской Федерации от 05.05.2008 № 216н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8 Профессиональная квалификационная группа должностей работников учебно-вспомогательного персонала первого уровня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851"/>
        <w:gridCol w:w="2977"/>
      </w:tblGrid>
      <w:tr>
        <w:tblPrEx/>
        <w:trPr/>
        <w:tc>
          <w:tcPr>
            <w:gridSpan w:val="2"/>
            <w:tcBorders>
              <w:bottom w:val="single" w:color="auto" w:sz="4" w:space="0"/>
            </w:tcBorders>
            <w:tcW w:w="6232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Вожатый; 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 9 Профессиональная квалификационная группа должностей работников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</w:tcBorders>
            <w:tcW w:w="2830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по режиму; 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образовательного учреждения; старший дежурный по режиму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 10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830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 инструктор по физической культуре; музыкальный руководитель; старший 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Инструктор-методист; педагог дополнительного образования; педагог-организатор; социальный педагог;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преподаватель; руководитель физического воспитания; старший воспитатель; старший методист; учитель; учитель-дефектолог; 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 11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830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группа по оплате труда руководителей - 13442;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группа по оплате труда руководителей - 12496;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группа по оплате труда руководителей - 11700;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группа по оплате труда руководителей - 11460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образовательную программу дополнительного образования детей, старший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группа по оплате труда руководителей - 13970;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группа по оплате труда руководителей - 12958;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группа по оплате труда руководителей - 12100;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группа по оплате труда руководителей - 11600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квалификационным группам должностей работников сельского хозяйства, утвержденным приказом Министерства здравоохранения и социального развития Российской Федерации от 17.07.2008 № 339н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12 Профессиональная квалификационная группа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«Должности работников сельского хозяйства второго уровня»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0"/>
        <w:gridCol w:w="4253"/>
        <w:gridCol w:w="2977"/>
      </w:tblGrid>
      <w:tr>
        <w:tblPrEx/>
        <w:trPr/>
        <w:tc>
          <w:tcPr>
            <w:tcW w:w="2830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по защите растений (средней квалификации); агроном по семеноводству (средней квалификации)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0" w:type="dxa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 13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сельского хозяйства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830" w:type="dxa"/>
            <w:vAlign w:val="center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Агроном; агроном по защите растений; агроном по семеноводству; ветеринарный врач; 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II категории: агроном; агроном по защите растений; агроном по семеноводству; ветеринарный врач; 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I категории: агроном; агроном по защите растений; агроном по семеноводству; ветеринарный врач; 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30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агроном; ведущий агроном по защите растений;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агроном по семеноводству; ведущий ветеринарный врач; ведущий 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профессиональным квалификационным группам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27.02.2012 № 165н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Таблица № 14 Профессиональная квалификационная группа должностей работников физической культуры и спорта второго уровня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89"/>
        <w:gridCol w:w="4394"/>
        <w:gridCol w:w="2977"/>
      </w:tblGrid>
      <w:tr>
        <w:tblPrEx/>
        <w:trPr/>
        <w:tc>
          <w:tcPr>
            <w:tcW w:w="268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культуре, 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15 Размеры должностных окладов по должностям, не отнесенным к профессиональным квалификационным группам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83"/>
        <w:gridCol w:w="2977"/>
      </w:tblGrid>
      <w:tr>
        <w:tblPrEx/>
        <w:trPr/>
        <w:tc>
          <w:tcPr>
            <w:tcW w:w="7083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производственного обучения рабочих массовых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3" w:type="dxa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(службы) (за исключением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ей, указанных в приказе министерства труда и социального развития Новосибирской области от 20.07.2022 № 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12 903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окладов по профессиональным квалификационным</w:t>
      </w:r>
      <w:r>
        <w:rPr>
          <w:rFonts w:ascii="Times New Roman" w:hAnsi="Times New Roman" w:cs="Times New Roman"/>
          <w:sz w:val="28"/>
          <w:szCs w:val="28"/>
        </w:rPr>
        <w:t xml:space="preserve">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16 Профессиональная квалификационная группа второго уровня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89"/>
        <w:gridCol w:w="4536"/>
        <w:gridCol w:w="2835"/>
      </w:tblGrid>
      <w:tr>
        <w:tblPrEx/>
        <w:trPr/>
        <w:tc>
          <w:tcPr>
            <w:tcW w:w="268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tabs>
                <w:tab w:val="left" w:pos="64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vMerge w:val="restart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гражданской обороны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vMerge w:val="continue"/>
            <w:textDirection w:val="lrTb"/>
            <w:noWrap w:val="false"/>
          </w:tcPr>
          <w:p>
            <w:pPr>
              <w:pStyle w:val="95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5" w:name="P599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Таблица 17 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 &lt;*&gt;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2"/>
        <w:gridCol w:w="4678"/>
      </w:tblGrid>
      <w:tr>
        <w:tblPrEx/>
        <w:trPr/>
        <w:tc>
          <w:tcPr>
            <w:tcW w:w="538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квалификации, установленный в профессиональном стандарте по соответствующей трудовой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уровень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Применяются при использовании следующих профессиональных стандартов: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профессиональный стандарт «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омощник по уходу» (утвержден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31.05.2023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482</w:t>
      </w:r>
      <w:r>
        <w:rPr>
          <w:rFonts w:ascii="Times New Roman" w:hAnsi="Times New Roman" w:cs="Times New Roman"/>
          <w:sz w:val="28"/>
          <w:szCs w:val="28"/>
        </w:rPr>
        <w:t xml:space="preserve">н);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профессиональный стандарт «Специалист по организации и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выплат социального характера» (утвержден приказом Министерства труда и социальной защиты Российской Федерации от 28.10.2015 № 787н);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профессиональный стандарт «Социальный работник» утвержден приказом Минтруда России от 18.06.2020 № 354н);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профессиональный стандарт «Графический дизайнер» (утвержден приказом Минтр</w:t>
      </w:r>
      <w:r>
        <w:rPr>
          <w:rFonts w:ascii="Times New Roman" w:hAnsi="Times New Roman" w:cs="Times New Roman"/>
          <w:sz w:val="28"/>
          <w:szCs w:val="28"/>
        </w:rPr>
        <w:t xml:space="preserve">уда России от 17.01.2017 № 40н);</w:t>
      </w:r>
      <w:bookmarkStart w:id="6" w:name="_GoBack"/>
      <w:r/>
      <w:bookmarkEnd w:id="6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профессиональный стандарт «Ассистент (помощник) по оказанию технической помощи инвалидам и лицам с ограниченными возможностями здоровья» (утвержден приказом Минтруда России от 12.04.2017 № 351н)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1496818"/>
      <w:docPartObj>
        <w:docPartGallery w:val="Page Numbers (Top of Page)"/>
        <w:docPartUnique w:val="true"/>
      </w:docPartObj>
      <w:rPr/>
    </w:sdtPr>
    <w:sdtContent>
      <w:p>
        <w:pPr>
          <w:pStyle w:val="95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isLgl w:val="false"/>
      <w:suff w:val="tab"/>
      <w:lvlText w:val=""/>
      <w:legacy w:legacy="1" w:legacyIndent="360" w:legacySpace="12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isLgl w:val="false"/>
      <w:suff w:val="tab"/>
      <w:lvlText w:val="o"/>
      <w:legacy w:legacy="1" w:legacyIndent="360" w:legacySpace="120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none"/>
      <w:isLgl w:val="false"/>
      <w:suff w:val="tab"/>
      <w:lvlText w:val=""/>
      <w:legacy w:legacy="1" w:legacyIndent="360" w:legacySpace="12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9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283" w:legacySpace="0"/>
      <w:lvlJc w:val="left"/>
      <w:pPr>
        <w:ind w:left="992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992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9" w:hanging="1215"/>
        <w:tabs>
          <w:tab w:val="num" w:pos="3909" w:leader="none"/>
        </w:tabs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3059" w:hanging="1215"/>
        <w:tabs>
          <w:tab w:val="num" w:pos="3059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33" w:hanging="1215"/>
        <w:tabs>
          <w:tab w:val="num" w:pos="2633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1215"/>
        <w:tabs>
          <w:tab w:val="num" w:pos="334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51" w:hanging="1215"/>
        <w:tabs>
          <w:tab w:val="num" w:pos="4051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  <w:tabs>
          <w:tab w:val="num" w:pos="49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  <w:tabs>
          <w:tab w:val="num" w:pos="605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  <w:tabs>
          <w:tab w:val="num" w:pos="676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  <w:tabs>
          <w:tab w:val="num" w:pos="7832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43" w:firstLine="284"/>
        <w:tabs>
          <w:tab w:val="num" w:pos="3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  <w:tabs>
          <w:tab w:val="num" w:pos="15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  <w:tabs>
          <w:tab w:val="num" w:pos="22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  <w:tabs>
          <w:tab w:val="num" w:pos="29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  <w:tabs>
          <w:tab w:val="num" w:pos="36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  <w:tabs>
          <w:tab w:val="num" w:pos="43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  <w:tabs>
          <w:tab w:val="num" w:pos="51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  <w:tabs>
          <w:tab w:val="num" w:pos="58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  <w:tabs>
          <w:tab w:val="num" w:pos="654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  <w:tabs>
          <w:tab w:val="num" w:pos="19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  <w:tabs>
          <w:tab w:val="num" w:pos="26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  <w:tabs>
          <w:tab w:val="num" w:pos="33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  <w:tabs>
          <w:tab w:val="num" w:pos="40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  <w:tabs>
          <w:tab w:val="num" w:pos="48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  <w:tabs>
          <w:tab w:val="num" w:pos="55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  <w:tabs>
          <w:tab w:val="num" w:pos="62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  <w:tabs>
          <w:tab w:val="num" w:pos="6971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8"/>
  </w:num>
  <w:num w:numId="5">
    <w:abstractNumId w:val="3"/>
  </w:num>
  <w:num w:numId="6">
    <w:abstractNumId w:val="8"/>
  </w:num>
  <w:num w:numId="7">
    <w:abstractNumId w:val="30"/>
  </w:num>
  <w:num w:numId="8">
    <w:abstractNumId w:val="22"/>
  </w:num>
  <w:num w:numId="9">
    <w:abstractNumId w:val="12"/>
  </w:num>
  <w:num w:numId="10">
    <w:abstractNumId w:val="17"/>
  </w:num>
  <w:num w:numId="11">
    <w:abstractNumId w:val="32"/>
  </w:num>
  <w:num w:numId="12">
    <w:abstractNumId w:val="10"/>
  </w:num>
  <w:num w:numId="13">
    <w:abstractNumId w:val="25"/>
  </w:num>
  <w:num w:numId="14">
    <w:abstractNumId w:val="18"/>
  </w:num>
  <w:num w:numId="15">
    <w:abstractNumId w:val="21"/>
  </w:num>
  <w:num w:numId="16">
    <w:abstractNumId w:val="11"/>
  </w:num>
  <w:num w:numId="17">
    <w:abstractNumId w:val="11"/>
    <w:lvlOverride w:ilvl="0">
      <w:lvl w:ilvl="0">
        <w:start w:val="1"/>
        <w:numFmt w:val="decimal"/>
        <w:isLgl w:val="false"/>
        <w:suff w:val="tab"/>
        <w:lvlText w:val="%1."/>
        <w:legacy w:legacy="1" w:legacyIndent="283" w:legacySpace="0"/>
        <w:lvlJc w:val="left"/>
        <w:pPr>
          <w:ind w:left="992" w:hanging="283"/>
        </w:pPr>
      </w:lvl>
    </w:lvlOverride>
  </w:num>
  <w:num w:numId="18">
    <w:abstractNumId w:val="24"/>
  </w:num>
  <w:num w:numId="19">
    <w:abstractNumId w:val="38"/>
  </w:num>
  <w:num w:numId="20">
    <w:abstractNumId w:val="20"/>
  </w:num>
  <w:num w:numId="21">
    <w:abstractNumId w:val="26"/>
  </w:num>
  <w:num w:numId="22">
    <w:abstractNumId w:val="14"/>
  </w:num>
  <w:num w:numId="23">
    <w:abstractNumId w:val="37"/>
  </w:num>
  <w:num w:numId="24">
    <w:abstractNumId w:val="0"/>
  </w:num>
  <w:num w:numId="25">
    <w:abstractNumId w:val="15"/>
  </w:num>
  <w:num w:numId="26">
    <w:abstractNumId w:val="9"/>
  </w:num>
  <w:num w:numId="27">
    <w:abstractNumId w:val="16"/>
  </w:num>
  <w:num w:numId="28">
    <w:abstractNumId w:val="33"/>
  </w:num>
  <w:num w:numId="29">
    <w:abstractNumId w:val="1"/>
  </w:num>
  <w:num w:numId="30">
    <w:abstractNumId w:val="7"/>
  </w:num>
  <w:num w:numId="31">
    <w:abstractNumId w:val="13"/>
  </w:num>
  <w:num w:numId="32">
    <w:abstractNumId w:val="19"/>
  </w:num>
  <w:num w:numId="33">
    <w:abstractNumId w:val="27"/>
  </w:num>
  <w:num w:numId="34">
    <w:abstractNumId w:val="5"/>
  </w:num>
  <w:num w:numId="35">
    <w:abstractNumId w:val="29"/>
  </w:num>
  <w:num w:numId="36">
    <w:abstractNumId w:val="35"/>
  </w:num>
  <w:num w:numId="37">
    <w:abstractNumId w:val="31"/>
  </w:num>
  <w:num w:numId="38">
    <w:abstractNumId w:val="34"/>
  </w:num>
  <w:num w:numId="39">
    <w:abstractNumId w:val="2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1 Char"/>
    <w:basedOn w:val="783"/>
    <w:link w:val="774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783"/>
    <w:link w:val="775"/>
    <w:uiPriority w:val="9"/>
    <w:rPr>
      <w:rFonts w:ascii="Arial" w:hAnsi="Arial" w:eastAsia="Arial" w:cs="Arial"/>
      <w:sz w:val="34"/>
    </w:rPr>
  </w:style>
  <w:style w:type="character" w:styleId="760">
    <w:name w:val="Heading 3 Char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61">
    <w:name w:val="Heading 4 Char"/>
    <w:basedOn w:val="783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83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3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3"/>
    <w:link w:val="797"/>
    <w:uiPriority w:val="10"/>
    <w:rPr>
      <w:sz w:val="48"/>
      <w:szCs w:val="48"/>
    </w:rPr>
  </w:style>
  <w:style w:type="character" w:styleId="768">
    <w:name w:val="Subtitle Char"/>
    <w:basedOn w:val="783"/>
    <w:link w:val="799"/>
    <w:uiPriority w:val="11"/>
    <w:rPr>
      <w:sz w:val="24"/>
      <w:szCs w:val="24"/>
    </w:rPr>
  </w:style>
  <w:style w:type="character" w:styleId="769">
    <w:name w:val="Quote Char"/>
    <w:link w:val="801"/>
    <w:uiPriority w:val="29"/>
    <w:rPr>
      <w:i/>
    </w:rPr>
  </w:style>
  <w:style w:type="character" w:styleId="770">
    <w:name w:val="Intense Quote Char"/>
    <w:link w:val="803"/>
    <w:uiPriority w:val="30"/>
    <w:rPr>
      <w:i/>
    </w:rPr>
  </w:style>
  <w:style w:type="character" w:styleId="771">
    <w:name w:val="Footnote Text Char"/>
    <w:link w:val="936"/>
    <w:uiPriority w:val="99"/>
    <w:rPr>
      <w:sz w:val="18"/>
    </w:rPr>
  </w:style>
  <w:style w:type="character" w:styleId="772">
    <w:name w:val="Endnote Text Char"/>
    <w:link w:val="939"/>
    <w:uiPriority w:val="99"/>
    <w:rPr>
      <w:sz w:val="20"/>
    </w:rPr>
  </w:style>
  <w:style w:type="paragraph" w:styleId="773" w:default="1">
    <w:name w:val="Normal"/>
    <w:qFormat/>
  </w:style>
  <w:style w:type="paragraph" w:styleId="774">
    <w:name w:val="Heading 1"/>
    <w:basedOn w:val="773"/>
    <w:next w:val="773"/>
    <w:link w:val="786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5">
    <w:name w:val="Heading 2"/>
    <w:basedOn w:val="773"/>
    <w:next w:val="773"/>
    <w:link w:val="787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6">
    <w:name w:val="Heading 3"/>
    <w:basedOn w:val="773"/>
    <w:next w:val="773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7">
    <w:name w:val="Heading 4"/>
    <w:basedOn w:val="773"/>
    <w:next w:val="773"/>
    <w:link w:val="78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773"/>
    <w:next w:val="773"/>
    <w:link w:val="790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773"/>
    <w:next w:val="773"/>
    <w:link w:val="791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0">
    <w:name w:val="Heading 7"/>
    <w:basedOn w:val="773"/>
    <w:next w:val="773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1">
    <w:name w:val="Heading 8"/>
    <w:basedOn w:val="773"/>
    <w:next w:val="773"/>
    <w:link w:val="793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Заголовок 1 Знак"/>
    <w:basedOn w:val="783"/>
    <w:link w:val="774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basedOn w:val="783"/>
    <w:link w:val="775"/>
    <w:rPr>
      <w:rFonts w:ascii="Arial" w:hAnsi="Arial" w:eastAsia="Arial" w:cs="Arial"/>
      <w:sz w:val="34"/>
    </w:rPr>
  </w:style>
  <w:style w:type="character" w:styleId="788" w:customStyle="1">
    <w:name w:val="Заголовок 3 Знак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basedOn w:val="783"/>
    <w:link w:val="777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basedOn w:val="783"/>
    <w:link w:val="778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basedOn w:val="783"/>
    <w:link w:val="77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basedOn w:val="783"/>
    <w:link w:val="781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uiPriority w:val="34"/>
    <w:qFormat/>
    <w:pPr>
      <w:contextualSpacing/>
      <w:ind w:left="720"/>
    </w:pPr>
  </w:style>
  <w:style w:type="paragraph" w:styleId="796">
    <w:name w:val="No Spacing"/>
    <w:link w:val="974"/>
    <w:qFormat/>
    <w:pPr>
      <w:spacing w:after="0" w:line="240" w:lineRule="auto"/>
    </w:pPr>
  </w:style>
  <w:style w:type="paragraph" w:styleId="797">
    <w:name w:val="Title"/>
    <w:basedOn w:val="773"/>
    <w:next w:val="773"/>
    <w:link w:val="798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Название Знак"/>
    <w:basedOn w:val="783"/>
    <w:link w:val="797"/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 w:customStyle="1">
    <w:name w:val="Подзаголовок Знак"/>
    <w:basedOn w:val="783"/>
    <w:link w:val="799"/>
    <w:uiPriority w:val="11"/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Header Char"/>
    <w:basedOn w:val="783"/>
    <w:uiPriority w:val="99"/>
  </w:style>
  <w:style w:type="character" w:styleId="806" w:customStyle="1">
    <w:name w:val="Footer Char"/>
    <w:basedOn w:val="783"/>
    <w:uiPriority w:val="99"/>
  </w:style>
  <w:style w:type="paragraph" w:styleId="807">
    <w:name w:val="Caption"/>
    <w:basedOn w:val="773"/>
    <w:next w:val="773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08" w:customStyle="1">
    <w:name w:val="Caption Char"/>
    <w:uiPriority w:val="99"/>
  </w:style>
  <w:style w:type="table" w:styleId="809">
    <w:name w:val="Table Grid"/>
    <w:basedOn w:val="784"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0" w:customStyle="1">
    <w:name w:val="Table Grid Light"/>
    <w:basedOn w:val="7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>
    <w:name w:val="Plain Table 1"/>
    <w:basedOn w:val="7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7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9" w:customStyle="1">
    <w:name w:val="Grid Table 4 - Accent 2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Grid Table 4 - Accent 3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1" w:customStyle="1">
    <w:name w:val="Grid Table 4 - Accent 4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Grid Table 4 - Accent 5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3" w:customStyle="1">
    <w:name w:val="Grid Table 4 - Accent 6"/>
    <w:basedOn w:val="7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4">
    <w:name w:val="Grid Table 5 Dark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3" w:customStyle="1">
    <w:name w:val="Grid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4" w:customStyle="1">
    <w:name w:val="Grid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5" w:customStyle="1">
    <w:name w:val="Grid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6" w:customStyle="1">
    <w:name w:val="Grid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7" w:customStyle="1">
    <w:name w:val="Grid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8">
    <w:name w:val="Grid Table 7 Colorful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2" w:customStyle="1">
    <w:name w:val="List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3" w:customStyle="1">
    <w:name w:val="List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4" w:customStyle="1">
    <w:name w:val="List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5" w:customStyle="1">
    <w:name w:val="List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6" w:customStyle="1">
    <w:name w:val="List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7">
    <w:name w:val="List Table 7 Colorful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6" w:customStyle="1">
    <w:name w:val="Lined - Accent 2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7" w:customStyle="1">
    <w:name w:val="Lined - Accent 3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8" w:customStyle="1">
    <w:name w:val="Lined - Accent 4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9" w:customStyle="1">
    <w:name w:val="Lined - Accent 5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0" w:customStyle="1">
    <w:name w:val="Lined - Accent 6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1" w:customStyle="1">
    <w:name w:val="Bordered &amp; Lined - Accent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3" w:customStyle="1">
    <w:name w:val="Bordered &amp; Lined - Accent 2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Bordered &amp; Lined - Accent 3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Bordered &amp; Lined - Accent 4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Bordered &amp; Lined - Accent 5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7" w:customStyle="1">
    <w:name w:val="Bordered &amp; Lined - Accent 6"/>
    <w:basedOn w:val="7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0" w:customStyle="1">
    <w:name w:val="Bordered - Accent 2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1" w:customStyle="1">
    <w:name w:val="Bordered - Accent 3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2" w:customStyle="1">
    <w:name w:val="Bordered - Accent 4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3" w:customStyle="1">
    <w:name w:val="Bordered - Accent 5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4" w:customStyle="1">
    <w:name w:val="Bordered - Accent 6"/>
    <w:basedOn w:val="7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563c1" w:themeColor="hyperlink"/>
      <w:u w:val="single"/>
    </w:rPr>
  </w:style>
  <w:style w:type="paragraph" w:styleId="936">
    <w:name w:val="footnote text"/>
    <w:basedOn w:val="773"/>
    <w:link w:val="937"/>
    <w:semiHidden/>
    <w:unhideWhenUsed/>
    <w:pPr>
      <w:spacing w:after="40" w:line="240" w:lineRule="auto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83"/>
    <w:unhideWhenUsed/>
    <w:rPr>
      <w:vertAlign w:val="superscript"/>
    </w:rPr>
  </w:style>
  <w:style w:type="paragraph" w:styleId="939">
    <w:name w:val="endnote text"/>
    <w:basedOn w:val="77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83"/>
    <w:uiPriority w:val="99"/>
    <w:semiHidden/>
    <w:unhideWhenUsed/>
    <w:rPr>
      <w:vertAlign w:val="superscript"/>
    </w:rPr>
  </w:style>
  <w:style w:type="paragraph" w:styleId="942">
    <w:name w:val="toc 1"/>
    <w:basedOn w:val="773"/>
    <w:next w:val="773"/>
    <w:uiPriority w:val="39"/>
    <w:unhideWhenUsed/>
    <w:pPr>
      <w:spacing w:after="57"/>
    </w:pPr>
  </w:style>
  <w:style w:type="paragraph" w:styleId="943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44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45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46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47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48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49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50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73"/>
    <w:next w:val="773"/>
    <w:uiPriority w:val="99"/>
    <w:unhideWhenUsed/>
    <w:pPr>
      <w:spacing w:after="0"/>
    </w:pPr>
  </w:style>
  <w:style w:type="paragraph" w:styleId="95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54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55">
    <w:name w:val="Balloon Text"/>
    <w:basedOn w:val="773"/>
    <w:link w:val="956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6" w:customStyle="1">
    <w:name w:val="Текст выноски Знак"/>
    <w:basedOn w:val="783"/>
    <w:link w:val="955"/>
    <w:uiPriority w:val="99"/>
    <w:rPr>
      <w:rFonts w:ascii="Segoe UI" w:hAnsi="Segoe UI" w:cs="Segoe UI"/>
      <w:sz w:val="18"/>
      <w:szCs w:val="18"/>
    </w:rPr>
  </w:style>
  <w:style w:type="paragraph" w:styleId="957">
    <w:name w:val="Body Text"/>
    <w:basedOn w:val="773"/>
    <w:link w:val="958"/>
    <w:uiPriority w:val="99"/>
    <w:pPr>
      <w:jc w:val="both"/>
      <w:spacing w:after="0" w:line="240" w:lineRule="auto"/>
    </w:pPr>
    <w:rPr>
      <w:rFonts w:ascii="Arial" w:hAnsi="Arial" w:eastAsia="Times New Roman" w:cs="Times New Roman"/>
      <w:sz w:val="28"/>
      <w:szCs w:val="20"/>
      <w:lang w:eastAsia="ru-RU"/>
    </w:rPr>
  </w:style>
  <w:style w:type="character" w:styleId="958" w:customStyle="1">
    <w:name w:val="Основной текст Знак"/>
    <w:basedOn w:val="783"/>
    <w:link w:val="957"/>
    <w:uiPriority w:val="99"/>
    <w:rPr>
      <w:rFonts w:ascii="Arial" w:hAnsi="Arial" w:eastAsia="Times New Roman" w:cs="Times New Roman"/>
      <w:sz w:val="28"/>
      <w:szCs w:val="20"/>
      <w:lang w:eastAsia="ru-RU"/>
    </w:rPr>
  </w:style>
  <w:style w:type="paragraph" w:styleId="959">
    <w:name w:val="Header"/>
    <w:basedOn w:val="773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783"/>
    <w:link w:val="959"/>
    <w:uiPriority w:val="99"/>
  </w:style>
  <w:style w:type="paragraph" w:styleId="961">
    <w:name w:val="Footer"/>
    <w:basedOn w:val="773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783"/>
    <w:link w:val="961"/>
    <w:uiPriority w:val="99"/>
  </w:style>
  <w:style w:type="paragraph" w:styleId="963" w:customStyle="1">
    <w:name w:val="docdata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>
    <w:name w:val="Normal (Web)"/>
    <w:basedOn w:val="7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6">
    <w:name w:val="Body Text Indent 2"/>
    <w:basedOn w:val="773"/>
    <w:link w:val="967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color w:val="0000ff"/>
      <w:sz w:val="28"/>
      <w:szCs w:val="20"/>
    </w:rPr>
  </w:style>
  <w:style w:type="character" w:styleId="967" w:customStyle="1">
    <w:name w:val="Основной текст с отступом 2 Знак"/>
    <w:basedOn w:val="783"/>
    <w:link w:val="966"/>
    <w:rPr>
      <w:rFonts w:ascii="Times New Roman" w:hAnsi="Times New Roman" w:eastAsia="Times New Roman" w:cs="Times New Roman"/>
      <w:color w:val="0000ff"/>
      <w:sz w:val="28"/>
      <w:szCs w:val="20"/>
    </w:rPr>
  </w:style>
  <w:style w:type="paragraph" w:styleId="968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69">
    <w:name w:val="Body Text 2"/>
    <w:basedOn w:val="773"/>
    <w:link w:val="970"/>
    <w:uiPriority w:val="99"/>
    <w:unhideWhenUsed/>
    <w:pPr>
      <w:jc w:val="both"/>
      <w:spacing w:after="120" w:line="480" w:lineRule="auto"/>
    </w:pPr>
    <w:rPr>
      <w:rFonts w:ascii="Times New Roman" w:hAnsi="Times New Roman" w:eastAsia="Calibri" w:cs="Times New Roman"/>
      <w:sz w:val="28"/>
    </w:rPr>
  </w:style>
  <w:style w:type="character" w:styleId="970" w:customStyle="1">
    <w:name w:val="Основной текст 2 Знак"/>
    <w:basedOn w:val="783"/>
    <w:link w:val="969"/>
    <w:uiPriority w:val="99"/>
    <w:rPr>
      <w:rFonts w:ascii="Times New Roman" w:hAnsi="Times New Roman" w:eastAsia="Calibri" w:cs="Times New Roman"/>
      <w:sz w:val="28"/>
    </w:rPr>
  </w:style>
  <w:style w:type="paragraph" w:styleId="971">
    <w:name w:val="Body Text Indent"/>
    <w:basedOn w:val="773"/>
    <w:link w:val="972"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2" w:customStyle="1">
    <w:name w:val="Основной текст с отступом Знак"/>
    <w:basedOn w:val="783"/>
    <w:link w:val="9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3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74" w:customStyle="1">
    <w:name w:val="Без интервала Знак"/>
    <w:link w:val="796"/>
  </w:style>
  <w:style w:type="paragraph" w:styleId="975">
    <w:name w:val="Block Text"/>
    <w:basedOn w:val="773"/>
    <w:pPr>
      <w:ind w:left="-900" w:right="6295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76" w:customStyle="1">
    <w:name w:val="Текст сноски Знак1"/>
    <w:semiHidden/>
    <w:rPr>
      <w:rFonts w:ascii="Times New Roman" w:hAnsi="Times New Roman" w:eastAsia="Times New Roman"/>
    </w:rPr>
  </w:style>
  <w:style w:type="numbering" w:styleId="977" w:customStyle="1">
    <w:name w:val="Нет списка1"/>
    <w:next w:val="785"/>
    <w:uiPriority w:val="99"/>
    <w:semiHidden/>
    <w:unhideWhenUsed/>
  </w:style>
  <w:style w:type="table" w:styleId="978" w:customStyle="1">
    <w:name w:val="Сетка таблицы1"/>
    <w:basedOn w:val="784"/>
    <w:next w:val="809"/>
    <w:uiPriority w:val="9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9" w:customStyle="1">
    <w:name w:val="Сетка таблицы2"/>
    <w:basedOn w:val="784"/>
    <w:next w:val="80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0" w:customStyle="1">
    <w:name w:val="Сетка таблицы3"/>
    <w:basedOn w:val="784"/>
    <w:next w:val="80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1">
    <w:name w:val="Body Text Indent 3"/>
    <w:basedOn w:val="773"/>
    <w:link w:val="982"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82" w:customStyle="1">
    <w:name w:val="Основной текст с отступом 3 Знак"/>
    <w:basedOn w:val="783"/>
    <w:link w:val="98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3" w:customStyle="1">
    <w:name w:val="Îáû÷íûé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4">
    <w:name w:val="page number"/>
  </w:style>
  <w:style w:type="paragraph" w:styleId="985" w:customStyle="1">
    <w:name w:val="Iaud7iue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6" w:customStyle="1">
    <w:name w:val="Iaud7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7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18"/>
      <w:szCs w:val="18"/>
      <w:lang w:eastAsia="ru-RU"/>
    </w:rPr>
  </w:style>
  <w:style w:type="paragraph" w:styleId="988">
    <w:name w:val="HTML Preformatted"/>
    <w:basedOn w:val="773"/>
    <w:link w:val="989"/>
    <w:pPr>
      <w:ind w:left="115"/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89" w:customStyle="1">
    <w:name w:val="Стандартный HTML Знак"/>
    <w:basedOn w:val="783"/>
    <w:link w:val="988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990">
    <w:name w:val="FollowedHyperlink"/>
    <w:uiPriority w:val="99"/>
    <w:unhideWhenUsed/>
    <w:rPr>
      <w:color w:val="800080"/>
      <w:u w:val="single"/>
    </w:rPr>
  </w:style>
  <w:style w:type="paragraph" w:styleId="991" w:customStyle="1">
    <w:name w:val="font5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92" w:customStyle="1">
    <w:name w:val="font6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993" w:customStyle="1">
    <w:name w:val="font7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994" w:customStyle="1">
    <w:name w:val="font8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lang w:eastAsia="ru-RU"/>
    </w:rPr>
  </w:style>
  <w:style w:type="paragraph" w:styleId="995" w:customStyle="1">
    <w:name w:val="font9"/>
    <w:basedOn w:val="773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996" w:customStyle="1">
    <w:name w:val="font10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800080"/>
      <w:sz w:val="18"/>
      <w:szCs w:val="18"/>
      <w:lang w:eastAsia="ru-RU"/>
    </w:rPr>
  </w:style>
  <w:style w:type="paragraph" w:styleId="997" w:customStyle="1">
    <w:name w:val="xl65"/>
    <w:basedOn w:val="77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8" w:customStyle="1">
    <w:name w:val="xl66"/>
    <w:basedOn w:val="773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 w:customStyle="1">
    <w:name w:val="xl67"/>
    <w:basedOn w:val="77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0" w:customStyle="1">
    <w:name w:val="xl68"/>
    <w:basedOn w:val="77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1" w:customStyle="1">
    <w:name w:val="xl69"/>
    <w:basedOn w:val="77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02" w:customStyle="1">
    <w:name w:val="xl70"/>
    <w:basedOn w:val="77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03" w:customStyle="1">
    <w:name w:val="xl71"/>
    <w:basedOn w:val="77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04" w:customStyle="1">
    <w:name w:val="xl72"/>
    <w:basedOn w:val="77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</w:rPr>
  </w:style>
  <w:style w:type="paragraph" w:styleId="1005" w:customStyle="1">
    <w:name w:val="xl73"/>
    <w:basedOn w:val="773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6" w:customStyle="1">
    <w:name w:val="xl74"/>
    <w:basedOn w:val="773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07" w:customStyle="1">
    <w:name w:val="xl75"/>
    <w:basedOn w:val="77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08" w:customStyle="1">
    <w:name w:val="Таблицы (моноширинный)"/>
    <w:basedOn w:val="773"/>
    <w:next w:val="773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9">
    <w:name w:val="Body Text 3"/>
    <w:basedOn w:val="773"/>
    <w:link w:val="101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010" w:customStyle="1">
    <w:name w:val="Основной текст 3 Знак"/>
    <w:basedOn w:val="783"/>
    <w:link w:val="100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11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Times New Roman"/>
      <w:b/>
      <w:szCs w:val="20"/>
      <w:lang w:eastAsia="ru-RU"/>
    </w:rPr>
  </w:style>
  <w:style w:type="numbering" w:styleId="1012" w:customStyle="1">
    <w:name w:val="Нет списка11"/>
    <w:next w:val="785"/>
    <w:uiPriority w:val="99"/>
    <w:semiHidden/>
    <w:unhideWhenUsed/>
  </w:style>
  <w:style w:type="table" w:styleId="1013" w:customStyle="1">
    <w:name w:val="Сетка таблицы11"/>
    <w:basedOn w:val="784"/>
    <w:next w:val="809"/>
    <w:uiPriority w:val="9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4" w:customStyle="1">
    <w:name w:val="xl76"/>
    <w:basedOn w:val="773"/>
    <w:pPr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5" w:customStyle="1">
    <w:name w:val="xl77"/>
    <w:basedOn w:val="773"/>
    <w:pPr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16" w:customStyle="1">
    <w:name w:val="xl78"/>
    <w:basedOn w:val="77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7" w:customStyle="1">
    <w:name w:val="xl79"/>
    <w:basedOn w:val="77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18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57F132E5631BC934C5488EAAB35FB3BFF28069BE20E61500049B9046DFDE3D45E5945FFB6B926C1B96EE42124BD795F5D9AF5D02E8F4AADFC25BC50BM5TED" TargetMode="External"/><Relationship Id="rId12" Type="http://schemas.openxmlformats.org/officeDocument/2006/relationships/hyperlink" Target="consultantplus://offline/ref=57F132E5631BC934C54890A7A533EDB6FA8331B125E2175651C79611808E3B10A5D459AE28D6631991E516410789CCA69BE45006F0E8AADBMDTFD" TargetMode="External"/><Relationship Id="rId13" Type="http://schemas.openxmlformats.org/officeDocument/2006/relationships/hyperlink" Target="consultantplus://offline/ref=BDCCCE64E296B8ABCEF5DD40AE0B718C9935A233EC4AC2B90D1D257FCA651FEB2EE29C9B2CD2ECD2430EB0A54BD807E342LCV9E" TargetMode="External"/><Relationship Id="rId14" Type="http://schemas.openxmlformats.org/officeDocument/2006/relationships/hyperlink" Target="consultantplus://offline/ref=57F132E5631BC934C54890A7A533EDB6FF8F3EB624E7175651C79611808E3B10B7D401A22AD07F1A90F0401041MDTFD" TargetMode="External"/><Relationship Id="rId15" Type="http://schemas.openxmlformats.org/officeDocument/2006/relationships/hyperlink" Target="consultantplus://offline/ref=57F132E5631BC934C54890A7A533EDB6FA8331B125E2175651C79611808E3B10A5D459AE28D6631991E516410789CCA69BE45006F0E8AADBMDTFD" TargetMode="External"/><Relationship Id="rId16" Type="http://schemas.openxmlformats.org/officeDocument/2006/relationships/hyperlink" Target="https://login.consultant.ru/link/?req=doc&amp;base=RLAW049&amp;n=172371" TargetMode="External"/><Relationship Id="rId17" Type="http://schemas.openxmlformats.org/officeDocument/2006/relationships/hyperlink" Target="https://login.consultant.ru/link/?req=doc&amp;base=RLAW049&amp;n=173420&amp;dst=101826" TargetMode="External"/><Relationship Id="rId18" Type="http://schemas.openxmlformats.org/officeDocument/2006/relationships/hyperlink" Target="https://login.consultant.ru/link/?req=doc&amp;base=RLAW049&amp;n=173420&amp;dst=101780" TargetMode="External"/><Relationship Id="rId19" Type="http://schemas.openxmlformats.org/officeDocument/2006/relationships/hyperlink" Target="https://login.consultant.ru/link/?req=doc&amp;base=RLAW049&amp;n=173420&amp;dst=101780" TargetMode="External"/><Relationship Id="rId20" Type="http://schemas.openxmlformats.org/officeDocument/2006/relationships/hyperlink" Target="consultantplus://offline/ref=57F132E5631BC934C54890A7A533EDB6FA893EB025E6175651C79611808E3B10B7D401A22AD07F1A90F0401041MDTFD" TargetMode="External"/><Relationship Id="rId21" Type="http://schemas.openxmlformats.org/officeDocument/2006/relationships/hyperlink" Target="consultantplus://offline/ref=57F132E5631BC934C54890A7A533EDB6FF8B37B625EA175651C79611808E3B10A5D459AE28D6611B95E516410789CCA69BE45006F0E8AADBMDTFD" TargetMode="External"/><Relationship Id="rId22" Type="http://schemas.openxmlformats.org/officeDocument/2006/relationships/hyperlink" Target="consultantplus://offline/ref=57F132E5631BC934C54890A7A533EDB6F88D31B124E6175651C79611808E3B10A5D459AE28D6611B96E516410789CCA69BE45006F0E8AADBMDTFD" TargetMode="External"/><Relationship Id="rId23" Type="http://schemas.openxmlformats.org/officeDocument/2006/relationships/hyperlink" Target="consultantplus://offline/ref=57F132E5631BC934C54890A7A533EDB6F98A36B525E7175651C79611808E3B10A5D459AE28D6611A9FE516410789CCA69BE45006F0E8AADBMDTFD" TargetMode="External"/><Relationship Id="rId24" Type="http://schemas.openxmlformats.org/officeDocument/2006/relationships/hyperlink" Target="consultantplus://offline/ref=57F132E5631BC934C54890A7A533EDB6F88D31BB26E6175651C79611808E3B10A5D459AE28D6611B96E516410789CCA69BE45006F0E8AADBMDTFD" TargetMode="External"/><Relationship Id="rId25" Type="http://schemas.openxmlformats.org/officeDocument/2006/relationships/hyperlink" Target="consultantplus://offline/ref=57F132E5631BC934C54890A7A533EDB6FF8F37BA25E1175651C79611808E3B10A5D459AE28D6611A9FE516410789CCA69BE45006F0E8AADBMDTFD" TargetMode="External"/><Relationship Id="rId26" Type="http://schemas.openxmlformats.org/officeDocument/2006/relationships/hyperlink" Target="consultantplus://offline/ref=57F132E5631BC934C54890A7A533EDB6F98A35B223E1175651C79611808E3B10A5D459AE28D6611A9FE516410789CCA69BE45006F0E8AADBMDTFD" TargetMode="External"/><Relationship Id="rId27" Type="http://schemas.openxmlformats.org/officeDocument/2006/relationships/hyperlink" Target="consultantplus://offline/ref=57F132E5631BC934C54890A7A533EDB6FF8F37BA25E1175651C79611808E3B10A5D459AE28D6611A9FE516410789CCA69BE45006F0E8AADBMDTF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E876-A302-44B8-85F5-A94A7E4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Вейде Светлана Владимировна</dc:creator>
  <cp:keywords/>
  <dc:description/>
  <cp:revision>10</cp:revision>
  <dcterms:created xsi:type="dcterms:W3CDTF">2025-02-25T10:43:00Z</dcterms:created>
  <dcterms:modified xsi:type="dcterms:W3CDTF">2025-06-19T08:26:37Z</dcterms:modified>
</cp:coreProperties>
</file>