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Разъяснения по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оформлени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, подач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и прием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заявки работодателя о п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отребности в привлечении иностранных работников для замещения вакантных и создаваемых рабочих мест либо выполнения работ (оказания услуг), заявки работодателя об увеличении (уменьшении) размера определенной потребности в привлечении иностранных работников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8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 соответствии с приказом Минтруда России от 23.01.2014 №27н «Об утверждении Правил определения органами государственной власти субъекта Российской Федерации по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требности в привлечении иностранных работников» (далее – Правила) министерством труда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 и социального развития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Новосибирской области, как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уполномоченным органом исполнительной власти Новосибирской области по определению потребности в привлечении иностранных работников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, в том числе увеличения (уменьшения) размера потребности в привлечении иностранных работников,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 (далее – уполномоченный орган)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ведет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ся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 прием заявок работодателей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об увеличении (уменьшении) размера потребности в привлечении иностранных работников на текущий год </w:t>
      </w:r>
      <w:r>
        <w:rPr>
          <w:rFonts w:ascii="Times New Roman" w:hAnsi="Times New Roman" w:eastAsia="Times New Roman" w:cs="Times New Roman"/>
          <w:bCs/>
          <w:sz w:val="27"/>
          <w:szCs w:val="27"/>
          <w:highlight w:val="none"/>
          <w:lang w:eastAsia="ru-RU"/>
        </w:rPr>
        <w:t xml:space="preserve">(далее – заявки работодателей)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и заявок работодателей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о потребности в привлечении иностранных работников для замещения вакантных и создаваемых рабочих мест либо выполнения работ (оказания услуг)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на предстоящий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год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аявки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 подаются </w:t>
      </w:r>
      <w:bookmarkStart w:id="0" w:name="_GoBack"/>
      <w:r>
        <w:rPr>
          <w:sz w:val="27"/>
          <w:szCs w:val="27"/>
          <w:highlight w:val="none"/>
        </w:rPr>
      </w:r>
      <w:bookmarkEnd w:id="0"/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только на привлечение иностранных граждан, </w:t>
      </w:r>
      <w:r>
        <w:rPr>
          <w:rFonts w:ascii="Times New Roman" w:hAnsi="Times New Roman" w:cs="Times New Roman"/>
          <w:sz w:val="27"/>
          <w:szCs w:val="27"/>
          <w:highlight w:val="none"/>
        </w:rPr>
        <w:t xml:space="preserve">прибывших в Российскую Федерацию для осуществления трудовой деятельности в порядке, требующем получения визы.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аявка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оформляется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работодателем с использованием АИК «Миграционные квоты»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7"/>
          <w:szCs w:val="27"/>
          <w:lang w:val="en-US" w:eastAsia="ru-RU"/>
        </w:rPr>
        <w:t xml:space="preserve">www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val="en-US" w:eastAsia="ru-RU"/>
        </w:rPr>
        <w:t xml:space="preserve">migrakvota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val="en-US" w:eastAsia="ru-RU"/>
        </w:rPr>
        <w:t xml:space="preserve">gov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в соответствии с приложением № 2 к Правилам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8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Сформированная и направленная на рассмотрение заявка также оформляется на бумажном носителе, закрепляется подписью и печатью работодателя. К заявке прилага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тся: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8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7"/>
          <w:szCs w:val="27"/>
          <w:lang w:eastAsia="ru-RU"/>
        </w:rPr>
        <w:t xml:space="preserve">копия выписки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выданная не ранее трех месяцев, предшествующих дате подачи заявки, и заверенная подписью руководителя и печатью организации;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8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7"/>
          <w:szCs w:val="27"/>
          <w:lang w:eastAsia="ru-RU"/>
        </w:rPr>
        <w:t xml:space="preserve">обоснование потребности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в привлечении иностранной рабочей силы, содержащее информацию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(об)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84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 п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редстоящих объемах выполнения работ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84"/>
        <w:numPr>
          <w:ilvl w:val="0"/>
          <w:numId w:val="2"/>
        </w:numPr>
        <w:jc w:val="both"/>
        <w:spacing w:after="0" w:line="336" w:lineRule="atLeast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фактическом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месте трудовой деятельности иностранных граждан (наименование строительного объекта, ресторана, предприятия и т.п.);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84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участии в реализации инвестиционных проектов, программ, мероприятий Новосибирской области, для выполнения которых необходимы дополнительные трудовые ресурсы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84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исполнении постановления Правительства Новосибирской области от 21.10.2013 № 456-п «О квотировании рабочих мест для трудоустройства инвалидов в Новосибирской области»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84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предоставлении гарантий медицинского и жилищного обеспечения иностранных работников (наличии договора с медицинской организацией на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предоставление иностранному работнику платных медицинских услуг, приобретение полиса добровольного медицинского страхования за счет средств работодателя,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 вид предоставляемого жилья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84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проведении специальной оценки условий труда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84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количественном соотношении работающих иностранных и российских граждан в предшествующ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ем, текущем и предстоящем годах;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84"/>
        <w:numPr>
          <w:ilvl w:val="0"/>
          <w:numId w:val="2"/>
        </w:numPr>
        <w:jc w:val="both"/>
        <w:spacing w:after="0" w:line="336" w:lineRule="atLeast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указании пр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ичин невозможности замещения российскими гражданами рабочих мест, на которые предполагается привлечь иностранных работников;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708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3) 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  <w:lang w:eastAsia="ru-RU"/>
        </w:rPr>
        <w:t xml:space="preserve">еренность</w:t>
      </w: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  <w:lang w:eastAsia="ru-RU"/>
        </w:rPr>
        <w:t xml:space="preserve">(если представитель организации является штатным работн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  <w:lang w:eastAsia="ru-RU"/>
        </w:rPr>
        <w:t xml:space="preserve">иком о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  <w:lang w:eastAsia="ru-RU"/>
        </w:rPr>
        <w:t xml:space="preserve">рганизации,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  <w:lang w:eastAsia="ru-RU"/>
        </w:rPr>
        <w:t xml:space="preserve"> то доверенность выдается от имени юридического лица за подписью руководителя с указанием должности доверенного лица; в случае, если доверенное лицо не является работником данной организации, доверенность должна быть нотариально удостоверенной).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7"/>
          <w:szCs w:val="27"/>
          <w:highlight w:val="none"/>
        </w:rPr>
      </w:r>
    </w:p>
    <w:p>
      <w:pPr>
        <w:ind w:firstLine="708"/>
        <w:jc w:val="both"/>
        <w:spacing w:before="100" w:beforeAutospacing="1"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Вышеуказанный пакет документов представляется работодателем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в уполномоченный орган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в сканированном виде на адрес электронной почты: 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:lang w:eastAsia="ru-RU"/>
        </w:rPr>
        <w:t xml:space="preserve">asvi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:lang w:eastAsia="ru-RU"/>
        </w:rPr>
        <w:t xml:space="preserve">@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:lang w:val="en-US" w:eastAsia="ru-RU"/>
        </w:rPr>
        <w:t xml:space="preserve">nso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:lang w:val="en-US" w:eastAsia="ru-RU"/>
        </w:rPr>
        <w:t xml:space="preserve">ru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ind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аботодатели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, планирующие привлечение иностранной рабочей силы, в течение трех месяцев, предшествующих дате подачи заявки,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информируют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центр занятости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населения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о свободных рабочих местах и вакантных должностях, в том числе о потребности в их замещении,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посредством размещения информации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 через свой личный кабинет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на единой цифровой платформ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в сфере занятости и трудовых отношений «Работа в России» (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https://trudvsem.ru/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  <w:t xml:space="preserve">).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  <w14:ligatures w14:val="none"/>
        </w:rPr>
      </w:r>
    </w:p>
    <w:p>
      <w:pPr>
        <w:ind w:firstLine="708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highlight w:val="none"/>
          <w14:ligatures w14:val="none"/>
        </w:rPr>
        <w:t xml:space="preserve">Важно!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З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апрещается распространение информации о свободных рабочих местах или вакантных должностях, содержащей сведения дискриминационного характера, а именно указывающие на какое бы то ни было прямое или косвенное ограничение прав или установление прямых или косве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н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ных преимуществ в зависимости от пола, расы, национальности, языка, цвета кожи, происхождения, инвалидности, имущественного, семейного, социального и должностного положения, возраста, места жительства, отношения к религии, убеждений, принадлежности или неп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р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инадлежности к общественным объединениям или каким-либо социальным группам, а также другие обстоятельства, не связанные с деловыми качествами работников, за исключением случаев, если право или обязанность устанавливать такие ограничения или преимущества пр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е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дусмотрены федеральными законами. Лица, распространяющие информацию о свободных рабочих местах или вакантных должностях, содержащую сведения дискриминационного характера, привлекаются к административной ответственности, установленной законодательством Росс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14:ligatures w14:val="none"/>
        </w:rPr>
        <w:t xml:space="preserve">ийской Федерации об административных правонарушениях.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Cs/>
          <w:i/>
          <w:sz w:val="24"/>
          <w:szCs w:val="24"/>
          <w:highlight w:val="none"/>
          <w14:ligatures w14:val="none"/>
        </w:rPr>
      </w:r>
    </w:p>
    <w:p>
      <w:pPr>
        <w:pStyle w:val="881"/>
        <w:ind w:firstLine="851"/>
        <w:rPr>
          <w:sz w:val="24"/>
          <w:szCs w:val="24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881"/>
        <w:ind w:firstLine="851"/>
        <w:rPr>
          <w:sz w:val="27"/>
          <w:szCs w:val="27"/>
          <w:highlight w:val="none"/>
        </w:rPr>
      </w:pPr>
      <w:r>
        <w:rPr>
          <w:b/>
          <w:bCs/>
          <w:color w:val="000000"/>
          <w:sz w:val="27"/>
          <w:szCs w:val="27"/>
          <w:highlight w:val="none"/>
        </w:rPr>
        <w:t xml:space="preserve">О</w:t>
      </w:r>
      <w:r>
        <w:rPr>
          <w:b/>
          <w:bCs/>
          <w:color w:val="000000"/>
          <w:sz w:val="27"/>
          <w:szCs w:val="27"/>
          <w:highlight w:val="none"/>
        </w:rPr>
        <w:t xml:space="preserve">бращаем внимание</w:t>
      </w:r>
      <w:r>
        <w:rPr>
          <w:color w:val="000000"/>
          <w:sz w:val="27"/>
          <w:szCs w:val="27"/>
          <w:highlight w:val="none"/>
        </w:rPr>
        <w:t xml:space="preserve"> </w:t>
      </w:r>
      <w:r>
        <w:rPr>
          <w:color w:val="000000"/>
          <w:sz w:val="27"/>
          <w:szCs w:val="27"/>
          <w:highlight w:val="none"/>
        </w:rPr>
        <w:t xml:space="preserve">работодателей, что перед подачей заявок в уполномоченный орган необходимо </w:t>
      </w:r>
      <w:r>
        <w:rPr>
          <w:color w:val="000000"/>
          <w:sz w:val="27"/>
          <w:szCs w:val="27"/>
          <w:highlight w:val="none"/>
        </w:rPr>
        <w:t xml:space="preserve">ур</w:t>
      </w:r>
      <w:r>
        <w:rPr>
          <w:color w:val="000000"/>
          <w:sz w:val="27"/>
          <w:szCs w:val="27"/>
          <w:highlight w:val="none"/>
        </w:rPr>
        <w:t xml:space="preserve">егулирова</w:t>
      </w:r>
      <w:r>
        <w:rPr>
          <w:color w:val="000000"/>
          <w:sz w:val="27"/>
          <w:szCs w:val="27"/>
          <w:highlight w:val="none"/>
        </w:rPr>
        <w:t xml:space="preserve">ть</w:t>
      </w:r>
      <w:r>
        <w:rPr>
          <w:color w:val="000000"/>
          <w:sz w:val="27"/>
          <w:szCs w:val="27"/>
          <w:highlight w:val="none"/>
        </w:rPr>
        <w:t xml:space="preserve"> </w:t>
      </w:r>
      <w:r>
        <w:rPr>
          <w:sz w:val="27"/>
          <w:szCs w:val="27"/>
          <w:highlight w:val="none"/>
        </w:rPr>
        <w:t xml:space="preserve">вопрос предоставления отчетности и осуществления обязательных платежей (налоги, сборы, взносы, пени и т.п.) в орган федеральной налоговой </w:t>
      </w:r>
      <w:r>
        <w:rPr>
          <w:sz w:val="27"/>
          <w:szCs w:val="27"/>
          <w:highlight w:val="none"/>
        </w:rPr>
        <w:t xml:space="preserve">службы по Новосибирской области</w:t>
      </w:r>
      <w:r>
        <w:rPr>
          <w:sz w:val="27"/>
          <w:szCs w:val="27"/>
          <w:highlight w:val="none"/>
        </w:rPr>
        <w:t xml:space="preserve"> и </w:t>
      </w:r>
      <w:r>
        <w:rPr>
          <w:bCs/>
          <w:sz w:val="27"/>
          <w:szCs w:val="27"/>
          <w:highlight w:val="none"/>
        </w:rPr>
        <w:t xml:space="preserve">Отделение фонда пенсионного и социального страхования Российской Федерации по Новосибирской области</w:t>
      </w:r>
      <w:r>
        <w:rPr>
          <w:sz w:val="27"/>
          <w:szCs w:val="27"/>
          <w:highlight w:val="none"/>
        </w:rPr>
        <w:t xml:space="preserve">, а также п</w:t>
      </w:r>
      <w:r>
        <w:rPr>
          <w:sz w:val="27"/>
          <w:szCs w:val="27"/>
          <w:highlight w:val="none"/>
        </w:rPr>
        <w:t xml:space="preserve">редо</w:t>
      </w:r>
      <w:r>
        <w:rPr>
          <w:sz w:val="27"/>
          <w:szCs w:val="27"/>
          <w:highlight w:val="none"/>
        </w:rPr>
        <w:t xml:space="preserve">ставить </w:t>
      </w:r>
      <w:r>
        <w:rPr>
          <w:sz w:val="27"/>
          <w:szCs w:val="27"/>
          <w:highlight w:val="none"/>
        </w:rPr>
        <w:t xml:space="preserve">в Государственную инспекцию труда </w:t>
      </w:r>
      <w:r>
        <w:rPr>
          <w:sz w:val="27"/>
          <w:szCs w:val="27"/>
          <w:highlight w:val="none"/>
        </w:rPr>
        <w:t xml:space="preserve">в </w:t>
      </w:r>
      <w:r>
        <w:rPr>
          <w:sz w:val="27"/>
          <w:szCs w:val="27"/>
          <w:highlight w:val="none"/>
        </w:rPr>
        <w:t xml:space="preserve">Новосибирской области </w:t>
      </w:r>
      <w:r>
        <w:rPr>
          <w:sz w:val="27"/>
          <w:szCs w:val="27"/>
          <w:highlight w:val="none"/>
        </w:rPr>
        <w:t xml:space="preserve">сведения</w:t>
      </w:r>
      <w:r>
        <w:rPr>
          <w:sz w:val="27"/>
          <w:szCs w:val="27"/>
          <w:highlight w:val="none"/>
        </w:rPr>
        <w:t xml:space="preserve"> о проведении специальной оценки усло</w:t>
      </w:r>
      <w:r>
        <w:rPr>
          <w:sz w:val="27"/>
          <w:szCs w:val="27"/>
          <w:highlight w:val="none"/>
        </w:rPr>
        <w:t xml:space="preserve">вий труда (или аттестации рабочих мест</w:t>
      </w:r>
      <w:r>
        <w:rPr>
          <w:sz w:val="27"/>
          <w:szCs w:val="27"/>
          <w:highlight w:val="none"/>
        </w:rPr>
        <w:t xml:space="preserve">).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Специалистами уполномоченного органа проводятся консультации работодателей (телефоны: 238 69 73, 238 72 24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0" w:right="567" w:bottom="907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638382395"/>
      <w:docPartObj>
        <w:docPartGallery w:val="Page Numbers (Top of Page)"/>
        <w:docPartUnique w:val="true"/>
      </w:docPartObj>
      <w:rPr/>
    </w:sdtPr>
    <w:sdtContent>
      <w:p>
        <w:pPr>
          <w:pStyle w:val="877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eastAsia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eastAsia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eastAsia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eastAsia="Times New Roman" w:cs="Times New Roman"/>
            <w:sz w:val="20"/>
            <w:szCs w:val="20"/>
          </w:rPr>
          <w:t xml:space="preserve">2</w:t>
        </w:r>
        <w:r>
          <w:rPr>
            <w:rFonts w:ascii="Times New Roman" w:hAnsi="Times New Roman" w:eastAsia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eastAsia="Times New Roman" w:cs="Times New Roman"/>
            <w:sz w:val="20"/>
            <w:szCs w:val="20"/>
          </w:rPr>
        </w:r>
      </w:p>
    </w:sdtContent>
  </w:sdt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69"/>
    <w:next w:val="869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0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69"/>
    <w:next w:val="869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0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69"/>
    <w:next w:val="869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0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69"/>
    <w:next w:val="869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0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69"/>
    <w:next w:val="869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0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69"/>
    <w:next w:val="869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0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69"/>
    <w:next w:val="869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0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69"/>
    <w:next w:val="869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0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69"/>
    <w:next w:val="869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0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Title"/>
    <w:basedOn w:val="869"/>
    <w:next w:val="869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basedOn w:val="870"/>
    <w:link w:val="714"/>
    <w:uiPriority w:val="10"/>
    <w:rPr>
      <w:sz w:val="48"/>
      <w:szCs w:val="48"/>
    </w:rPr>
  </w:style>
  <w:style w:type="paragraph" w:styleId="716">
    <w:name w:val="Subtitle"/>
    <w:basedOn w:val="869"/>
    <w:next w:val="869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basedOn w:val="870"/>
    <w:link w:val="716"/>
    <w:uiPriority w:val="11"/>
    <w:rPr>
      <w:sz w:val="24"/>
      <w:szCs w:val="24"/>
    </w:rPr>
  </w:style>
  <w:style w:type="paragraph" w:styleId="718">
    <w:name w:val="Quote"/>
    <w:basedOn w:val="869"/>
    <w:next w:val="869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69"/>
    <w:next w:val="869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character" w:styleId="722">
    <w:name w:val="Header Char"/>
    <w:basedOn w:val="870"/>
    <w:link w:val="877"/>
    <w:uiPriority w:val="99"/>
  </w:style>
  <w:style w:type="character" w:styleId="723">
    <w:name w:val="Footer Char"/>
    <w:basedOn w:val="870"/>
    <w:link w:val="879"/>
    <w:uiPriority w:val="99"/>
  </w:style>
  <w:style w:type="paragraph" w:styleId="724">
    <w:name w:val="Caption"/>
    <w:basedOn w:val="869"/>
    <w:next w:val="869"/>
    <w:link w:val="7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879"/>
    <w:uiPriority w:val="99"/>
  </w:style>
  <w:style w:type="table" w:styleId="726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2">
    <w:name w:val="footnote text"/>
    <w:basedOn w:val="869"/>
    <w:link w:val="853"/>
    <w:uiPriority w:val="99"/>
    <w:semiHidden/>
    <w:unhideWhenUsed/>
    <w:pPr>
      <w:spacing w:after="40" w:line="240" w:lineRule="auto"/>
    </w:pPr>
    <w:rPr>
      <w:sz w:val="18"/>
    </w:rPr>
  </w:style>
  <w:style w:type="character" w:styleId="853">
    <w:name w:val="Footnote Text Char"/>
    <w:link w:val="852"/>
    <w:uiPriority w:val="99"/>
    <w:rPr>
      <w:sz w:val="18"/>
    </w:rPr>
  </w:style>
  <w:style w:type="character" w:styleId="854">
    <w:name w:val="footnote reference"/>
    <w:basedOn w:val="870"/>
    <w:uiPriority w:val="99"/>
    <w:unhideWhenUsed/>
    <w:rPr>
      <w:vertAlign w:val="superscript"/>
    </w:rPr>
  </w:style>
  <w:style w:type="paragraph" w:styleId="855">
    <w:name w:val="endnote text"/>
    <w:basedOn w:val="869"/>
    <w:link w:val="856"/>
    <w:uiPriority w:val="99"/>
    <w:semiHidden/>
    <w:unhideWhenUsed/>
    <w:pPr>
      <w:spacing w:after="0" w:line="240" w:lineRule="auto"/>
    </w:pPr>
    <w:rPr>
      <w:sz w:val="20"/>
    </w:rPr>
  </w:style>
  <w:style w:type="character" w:styleId="856">
    <w:name w:val="Endnote Text Char"/>
    <w:link w:val="855"/>
    <w:uiPriority w:val="99"/>
    <w:rPr>
      <w:sz w:val="20"/>
    </w:rPr>
  </w:style>
  <w:style w:type="character" w:styleId="857">
    <w:name w:val="endnote reference"/>
    <w:basedOn w:val="870"/>
    <w:uiPriority w:val="99"/>
    <w:semiHidden/>
    <w:unhideWhenUsed/>
    <w:rPr>
      <w:vertAlign w:val="superscript"/>
    </w:rPr>
  </w:style>
  <w:style w:type="paragraph" w:styleId="858">
    <w:name w:val="toc 1"/>
    <w:basedOn w:val="869"/>
    <w:next w:val="869"/>
    <w:uiPriority w:val="39"/>
    <w:unhideWhenUsed/>
    <w:pPr>
      <w:ind w:left="0" w:right="0" w:firstLine="0"/>
      <w:spacing w:after="57"/>
    </w:pPr>
  </w:style>
  <w:style w:type="paragraph" w:styleId="859">
    <w:name w:val="toc 2"/>
    <w:basedOn w:val="869"/>
    <w:next w:val="869"/>
    <w:uiPriority w:val="39"/>
    <w:unhideWhenUsed/>
    <w:pPr>
      <w:ind w:left="283" w:right="0" w:firstLine="0"/>
      <w:spacing w:after="57"/>
    </w:pPr>
  </w:style>
  <w:style w:type="paragraph" w:styleId="860">
    <w:name w:val="toc 3"/>
    <w:basedOn w:val="869"/>
    <w:next w:val="869"/>
    <w:uiPriority w:val="39"/>
    <w:unhideWhenUsed/>
    <w:pPr>
      <w:ind w:left="567" w:right="0" w:firstLine="0"/>
      <w:spacing w:after="57"/>
    </w:pPr>
  </w:style>
  <w:style w:type="paragraph" w:styleId="861">
    <w:name w:val="toc 4"/>
    <w:basedOn w:val="869"/>
    <w:next w:val="869"/>
    <w:uiPriority w:val="39"/>
    <w:unhideWhenUsed/>
    <w:pPr>
      <w:ind w:left="850" w:right="0" w:firstLine="0"/>
      <w:spacing w:after="57"/>
    </w:pPr>
  </w:style>
  <w:style w:type="paragraph" w:styleId="862">
    <w:name w:val="toc 5"/>
    <w:basedOn w:val="869"/>
    <w:next w:val="869"/>
    <w:uiPriority w:val="39"/>
    <w:unhideWhenUsed/>
    <w:pPr>
      <w:ind w:left="1134" w:right="0" w:firstLine="0"/>
      <w:spacing w:after="57"/>
    </w:pPr>
  </w:style>
  <w:style w:type="paragraph" w:styleId="863">
    <w:name w:val="toc 6"/>
    <w:basedOn w:val="869"/>
    <w:next w:val="869"/>
    <w:uiPriority w:val="39"/>
    <w:unhideWhenUsed/>
    <w:pPr>
      <w:ind w:left="1417" w:right="0" w:firstLine="0"/>
      <w:spacing w:after="57"/>
    </w:pPr>
  </w:style>
  <w:style w:type="paragraph" w:styleId="864">
    <w:name w:val="toc 7"/>
    <w:basedOn w:val="869"/>
    <w:next w:val="869"/>
    <w:uiPriority w:val="39"/>
    <w:unhideWhenUsed/>
    <w:pPr>
      <w:ind w:left="1701" w:right="0" w:firstLine="0"/>
      <w:spacing w:after="57"/>
    </w:pPr>
  </w:style>
  <w:style w:type="paragraph" w:styleId="865">
    <w:name w:val="toc 8"/>
    <w:basedOn w:val="869"/>
    <w:next w:val="869"/>
    <w:uiPriority w:val="39"/>
    <w:unhideWhenUsed/>
    <w:pPr>
      <w:ind w:left="1984" w:right="0" w:firstLine="0"/>
      <w:spacing w:after="57"/>
    </w:pPr>
  </w:style>
  <w:style w:type="paragraph" w:styleId="866">
    <w:name w:val="toc 9"/>
    <w:basedOn w:val="869"/>
    <w:next w:val="869"/>
    <w:uiPriority w:val="39"/>
    <w:unhideWhenUsed/>
    <w:pPr>
      <w:ind w:left="2268" w:right="0" w:firstLine="0"/>
      <w:spacing w:after="57"/>
    </w:pPr>
  </w:style>
  <w:style w:type="paragraph" w:styleId="867">
    <w:name w:val="TOC Heading"/>
    <w:uiPriority w:val="39"/>
    <w:unhideWhenUsed/>
  </w:style>
  <w:style w:type="paragraph" w:styleId="868">
    <w:name w:val="table of figures"/>
    <w:basedOn w:val="869"/>
    <w:next w:val="869"/>
    <w:uiPriority w:val="99"/>
    <w:unhideWhenUsed/>
    <w:pPr>
      <w:spacing w:after="0" w:afterAutospacing="0"/>
    </w:pPr>
  </w:style>
  <w:style w:type="paragraph" w:styleId="869" w:default="1">
    <w:name w:val="Normal"/>
    <w:qFormat/>
  </w:style>
  <w:style w:type="character" w:styleId="870" w:default="1">
    <w:name w:val="Default Paragraph Font"/>
    <w:uiPriority w:val="1"/>
    <w:semiHidden/>
    <w:unhideWhenUsed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 Spacing"/>
    <w:uiPriority w:val="1"/>
    <w:qFormat/>
    <w:pPr>
      <w:spacing w:after="0" w:line="240" w:lineRule="auto"/>
    </w:pPr>
  </w:style>
  <w:style w:type="paragraph" w:styleId="874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lang w:eastAsia="ru-RU"/>
    </w:rPr>
  </w:style>
  <w:style w:type="paragraph" w:styleId="875">
    <w:name w:val="Balloon Text"/>
    <w:basedOn w:val="869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70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Header"/>
    <w:basedOn w:val="869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Верхний колонтитул Знак"/>
    <w:basedOn w:val="870"/>
    <w:link w:val="877"/>
    <w:uiPriority w:val="99"/>
  </w:style>
  <w:style w:type="paragraph" w:styleId="879">
    <w:name w:val="Footer"/>
    <w:basedOn w:val="869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Нижний колонтитул Знак"/>
    <w:basedOn w:val="870"/>
    <w:link w:val="879"/>
    <w:uiPriority w:val="99"/>
  </w:style>
  <w:style w:type="paragraph" w:styleId="881">
    <w:name w:val="Body Text"/>
    <w:basedOn w:val="869"/>
    <w:link w:val="882"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2" w:customStyle="1">
    <w:name w:val="Основной текст Знак"/>
    <w:basedOn w:val="870"/>
    <w:link w:val="88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4">
    <w:name w:val="List Paragraph"/>
    <w:basedOn w:val="869"/>
    <w:uiPriority w:val="34"/>
    <w:qFormat/>
    <w:pPr>
      <w:contextualSpacing/>
      <w:ind w:left="720"/>
    </w:pPr>
  </w:style>
  <w:style w:type="character" w:styleId="885">
    <w:name w:val="Hyperlink"/>
    <w:basedOn w:val="870"/>
    <w:uiPriority w:val="99"/>
    <w:unhideWhenUsed/>
    <w:rPr>
      <w:color w:val="0000ff" w:themeColor="hyperlink"/>
      <w:u w:val="single"/>
    </w:rPr>
  </w:style>
  <w:style w:type="paragraph" w:styleId="886" w:customStyle="1">
    <w:name w:val="ConsPlusCell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2876-C36F-4BD5-93AE-05D7ECA5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Людмила Владимировна</dc:creator>
  <cp:lastModifiedBy>shta</cp:lastModifiedBy>
  <cp:revision>24</cp:revision>
  <dcterms:created xsi:type="dcterms:W3CDTF">2022-01-19T10:06:00Z</dcterms:created>
  <dcterms:modified xsi:type="dcterms:W3CDTF">2025-01-16T07:04:19Z</dcterms:modified>
</cp:coreProperties>
</file>