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86428B" w:rsidRDefault="00791515" w:rsidP="00F21457">
      <w:pPr>
        <w:pStyle w:val="a7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 w:rsidRPr="0086428B">
        <w:rPr>
          <w:b/>
          <w:bCs/>
          <w:noProof/>
        </w:rPr>
        <w:drawing>
          <wp:inline distT="0" distB="0" distL="0" distR="0" wp14:anchorId="1ADCEB77" wp14:editId="2841FC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86428B" w:rsidRDefault="00FA202F" w:rsidP="00F21457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86428B" w:rsidRDefault="009A785B" w:rsidP="00F21457">
      <w:pPr>
        <w:pStyle w:val="a7"/>
        <w:widowControl w:val="0"/>
        <w:jc w:val="center"/>
        <w:rPr>
          <w:b/>
          <w:bCs/>
        </w:rPr>
      </w:pPr>
      <w:r w:rsidRPr="0086428B">
        <w:rPr>
          <w:b/>
          <w:bCs/>
        </w:rPr>
        <w:t>ПРАВИТЕЛЬСТВО</w:t>
      </w:r>
      <w:r w:rsidR="00680B0B" w:rsidRPr="0086428B">
        <w:rPr>
          <w:b/>
          <w:bCs/>
        </w:rPr>
        <w:t xml:space="preserve"> </w:t>
      </w:r>
      <w:r w:rsidR="00FA202F" w:rsidRPr="0086428B">
        <w:rPr>
          <w:b/>
          <w:bCs/>
        </w:rPr>
        <w:t>НОВОСИБИРСКОЙ ОБЛАСТИ</w:t>
      </w:r>
    </w:p>
    <w:p w:rsidR="00333721" w:rsidRPr="0086428B" w:rsidRDefault="00333721" w:rsidP="00F21457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86428B" w:rsidRDefault="001A1DD7" w:rsidP="00F21457">
      <w:pPr>
        <w:pStyle w:val="11"/>
        <w:widowControl w:val="0"/>
        <w:rPr>
          <w:sz w:val="36"/>
          <w:szCs w:val="36"/>
        </w:rPr>
      </w:pPr>
      <w:r w:rsidRPr="0086428B">
        <w:rPr>
          <w:sz w:val="36"/>
          <w:szCs w:val="36"/>
        </w:rPr>
        <w:t>ПОСТАНОВЛ</w:t>
      </w:r>
      <w:r w:rsidR="005E5230" w:rsidRPr="0086428B">
        <w:rPr>
          <w:sz w:val="36"/>
          <w:szCs w:val="36"/>
        </w:rPr>
        <w:t>ЕНИЕ</w:t>
      </w:r>
    </w:p>
    <w:p w:rsidR="00FA202F" w:rsidRPr="0086428B" w:rsidRDefault="00FA202F" w:rsidP="00F21457">
      <w:pPr>
        <w:widowControl w:val="0"/>
        <w:jc w:val="both"/>
        <w:rPr>
          <w:sz w:val="28"/>
          <w:szCs w:val="28"/>
        </w:rPr>
      </w:pPr>
    </w:p>
    <w:p w:rsidR="009C65E4" w:rsidRPr="0086428B" w:rsidRDefault="009C65E4" w:rsidP="00F21457">
      <w:pPr>
        <w:widowControl w:val="0"/>
        <w:jc w:val="both"/>
        <w:rPr>
          <w:sz w:val="28"/>
          <w:szCs w:val="28"/>
        </w:rPr>
      </w:pPr>
    </w:p>
    <w:p w:rsidR="002F699B" w:rsidRPr="0086428B" w:rsidRDefault="00D34FFC" w:rsidP="00F2145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25.03.2019  № 107-п</w:t>
      </w:r>
    </w:p>
    <w:p w:rsidR="006B71F2" w:rsidRPr="0086428B" w:rsidRDefault="006B71F2" w:rsidP="00F21457">
      <w:pPr>
        <w:widowControl w:val="0"/>
        <w:jc w:val="both"/>
        <w:rPr>
          <w:sz w:val="28"/>
          <w:szCs w:val="28"/>
        </w:rPr>
      </w:pPr>
    </w:p>
    <w:p w:rsidR="0020595F" w:rsidRPr="0086428B" w:rsidRDefault="006179C5" w:rsidP="00F21457">
      <w:pPr>
        <w:widowControl w:val="0"/>
        <w:jc w:val="center"/>
        <w:rPr>
          <w:sz w:val="24"/>
          <w:szCs w:val="24"/>
        </w:rPr>
      </w:pPr>
      <w:r w:rsidRPr="0086428B">
        <w:rPr>
          <w:sz w:val="24"/>
          <w:szCs w:val="24"/>
        </w:rPr>
        <w:t>г. Новосибирск</w:t>
      </w:r>
    </w:p>
    <w:p w:rsidR="00B87CE2" w:rsidRDefault="00B87CE2" w:rsidP="00F21457">
      <w:pPr>
        <w:widowControl w:val="0"/>
        <w:jc w:val="center"/>
        <w:rPr>
          <w:sz w:val="28"/>
          <w:szCs w:val="28"/>
        </w:rPr>
      </w:pPr>
    </w:p>
    <w:p w:rsidR="00800FCC" w:rsidRPr="00800FCC" w:rsidRDefault="00800FCC" w:rsidP="00800FCC">
      <w:pPr>
        <w:widowControl w:val="0"/>
        <w:spacing w:line="252" w:lineRule="auto"/>
        <w:jc w:val="center"/>
        <w:rPr>
          <w:sz w:val="28"/>
          <w:szCs w:val="28"/>
        </w:rPr>
      </w:pPr>
      <w:r w:rsidRPr="00800FCC">
        <w:rPr>
          <w:sz w:val="28"/>
          <w:szCs w:val="28"/>
        </w:rPr>
        <w:t>О внесении изменений в постановление Правительства Новосибирской области от 23.04.2013 № 177-п</w:t>
      </w:r>
    </w:p>
    <w:p w:rsidR="00800FCC" w:rsidRPr="00800FCC" w:rsidRDefault="00800FCC" w:rsidP="00800FCC">
      <w:pPr>
        <w:widowControl w:val="0"/>
        <w:adjustRightInd w:val="0"/>
        <w:spacing w:line="252" w:lineRule="auto"/>
        <w:jc w:val="center"/>
        <w:rPr>
          <w:rFonts w:cs="Arial"/>
          <w:bCs/>
          <w:sz w:val="28"/>
          <w:szCs w:val="28"/>
        </w:rPr>
      </w:pPr>
    </w:p>
    <w:p w:rsidR="00800FCC" w:rsidRPr="00800FCC" w:rsidRDefault="00800FCC" w:rsidP="00800FCC">
      <w:pPr>
        <w:widowControl w:val="0"/>
        <w:adjustRightInd w:val="0"/>
        <w:spacing w:line="252" w:lineRule="auto"/>
        <w:jc w:val="center"/>
        <w:rPr>
          <w:rFonts w:cs="Arial"/>
          <w:bCs/>
          <w:sz w:val="28"/>
          <w:szCs w:val="28"/>
        </w:rPr>
      </w:pPr>
    </w:p>
    <w:p w:rsidR="00800FCC" w:rsidRPr="00800FCC" w:rsidRDefault="00800FCC" w:rsidP="00800FCC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800FCC">
        <w:rPr>
          <w:sz w:val="28"/>
          <w:szCs w:val="28"/>
        </w:rPr>
        <w:t xml:space="preserve">В соответствии с постановлением Правительства Новосибирской области 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 Правительство Новосибирской области </w:t>
      </w:r>
      <w:proofErr w:type="gramStart"/>
      <w:r w:rsidRPr="00800FCC">
        <w:rPr>
          <w:b/>
          <w:bCs/>
          <w:sz w:val="28"/>
          <w:szCs w:val="28"/>
        </w:rPr>
        <w:t>п</w:t>
      </w:r>
      <w:proofErr w:type="gramEnd"/>
      <w:r w:rsidRPr="00800FCC">
        <w:rPr>
          <w:b/>
          <w:bCs/>
          <w:sz w:val="28"/>
          <w:szCs w:val="28"/>
        </w:rPr>
        <w:t> о с т а н о в л я е т</w:t>
      </w:r>
      <w:r w:rsidRPr="00800FCC">
        <w:rPr>
          <w:sz w:val="28"/>
          <w:szCs w:val="28"/>
        </w:rPr>
        <w:t>:</w:t>
      </w:r>
    </w:p>
    <w:p w:rsidR="00800FCC" w:rsidRPr="00800FCC" w:rsidRDefault="00800FCC" w:rsidP="00800FCC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800FCC">
        <w:rPr>
          <w:sz w:val="28"/>
          <w:szCs w:val="28"/>
        </w:rPr>
        <w:t>Внести в постановление Правительства Новосибирской области от 23.04.2013 № 177-п «Об утверждении государственной программы Новосибирской области «Содействие занятости населения» (далее – постановление) следующие изменения:</w:t>
      </w:r>
    </w:p>
    <w:p w:rsidR="00800FCC" w:rsidRPr="00800FCC" w:rsidRDefault="00800FCC" w:rsidP="00800FCC">
      <w:pPr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00FCC">
        <w:rPr>
          <w:sz w:val="28"/>
          <w:szCs w:val="28"/>
        </w:rPr>
        <w:t xml:space="preserve">1. В </w:t>
      </w:r>
      <w:proofErr w:type="gramStart"/>
      <w:r w:rsidRPr="00800FCC">
        <w:rPr>
          <w:sz w:val="28"/>
          <w:szCs w:val="28"/>
        </w:rPr>
        <w:t>приложении</w:t>
      </w:r>
      <w:proofErr w:type="gramEnd"/>
      <w:r w:rsidRPr="00800FCC">
        <w:rPr>
          <w:sz w:val="28"/>
          <w:szCs w:val="28"/>
        </w:rPr>
        <w:t xml:space="preserve"> № 7 «Порядок выплаты материальной поддержки </w:t>
      </w:r>
      <w:proofErr w:type="gramStart"/>
      <w:r w:rsidRPr="00800FCC">
        <w:rPr>
          <w:sz w:val="28"/>
          <w:szCs w:val="28"/>
        </w:rPr>
        <w:t>несовершеннолетним гражданам в возрасте от 14 до 18 лет, безработным гражданам в период участия в оплачиваемых общественных работах, временного трудоустройства, в том числе инвалидам молодого возраста, а также ее размеры в</w:t>
      </w:r>
      <w:r w:rsidR="004F34DC">
        <w:rPr>
          <w:sz w:val="28"/>
          <w:szCs w:val="28"/>
        </w:rPr>
        <w:t>  </w:t>
      </w:r>
      <w:r w:rsidRPr="00800FCC">
        <w:rPr>
          <w:sz w:val="28"/>
          <w:szCs w:val="28"/>
        </w:rPr>
        <w:t>рамках реализации государственной программы Новосибирской области «Содействие занятости населения» к постановлению:</w:t>
      </w:r>
      <w:proofErr w:type="gramEnd"/>
    </w:p>
    <w:p w:rsidR="00800FCC" w:rsidRPr="00800FCC" w:rsidRDefault="00800FCC" w:rsidP="00800FCC">
      <w:pPr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00FCC">
        <w:rPr>
          <w:sz w:val="28"/>
          <w:szCs w:val="28"/>
        </w:rPr>
        <w:t>пункт 5 изложить в следующей редакции:</w:t>
      </w:r>
    </w:p>
    <w:p w:rsidR="00800FCC" w:rsidRPr="00800FCC" w:rsidRDefault="00800FCC" w:rsidP="00800FCC">
      <w:pPr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00FCC">
        <w:rPr>
          <w:sz w:val="28"/>
          <w:szCs w:val="28"/>
        </w:rPr>
        <w:t xml:space="preserve">«5. Выплата материальной поддержки осуществляется в следующих </w:t>
      </w:r>
      <w:proofErr w:type="gramStart"/>
      <w:r w:rsidRPr="00800FCC">
        <w:rPr>
          <w:sz w:val="28"/>
          <w:szCs w:val="28"/>
        </w:rPr>
        <w:t>размерах</w:t>
      </w:r>
      <w:proofErr w:type="gramEnd"/>
      <w:r w:rsidRPr="00800FCC">
        <w:rPr>
          <w:sz w:val="28"/>
          <w:szCs w:val="28"/>
        </w:rPr>
        <w:t>:</w:t>
      </w:r>
    </w:p>
    <w:p w:rsidR="00800FCC" w:rsidRPr="00800FCC" w:rsidRDefault="00800FCC" w:rsidP="00800FCC">
      <w:pPr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00FCC">
        <w:rPr>
          <w:sz w:val="28"/>
          <w:szCs w:val="28"/>
        </w:rPr>
        <w:t xml:space="preserve">1) безработным гражданам в период участия в оплачиваемых общественных </w:t>
      </w:r>
      <w:proofErr w:type="gramStart"/>
      <w:r w:rsidRPr="00800FCC">
        <w:rPr>
          <w:sz w:val="28"/>
          <w:szCs w:val="28"/>
        </w:rPr>
        <w:t>работах</w:t>
      </w:r>
      <w:proofErr w:type="gramEnd"/>
      <w:r w:rsidRPr="00800FCC">
        <w:rPr>
          <w:sz w:val="28"/>
          <w:szCs w:val="28"/>
        </w:rPr>
        <w:t xml:space="preserve"> – в размере 3315 рублей;</w:t>
      </w:r>
    </w:p>
    <w:p w:rsidR="00800FCC" w:rsidRPr="00800FCC" w:rsidRDefault="00800FCC" w:rsidP="00800FCC">
      <w:pPr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00FCC">
        <w:rPr>
          <w:sz w:val="28"/>
          <w:szCs w:val="28"/>
        </w:rPr>
        <w:t>2) безработным гражданам в период временного трудоустройства – в</w:t>
      </w:r>
      <w:r w:rsidR="004F34DC">
        <w:rPr>
          <w:sz w:val="28"/>
          <w:szCs w:val="28"/>
        </w:rPr>
        <w:t> </w:t>
      </w:r>
      <w:proofErr w:type="gramStart"/>
      <w:r w:rsidRPr="00800FCC">
        <w:rPr>
          <w:sz w:val="28"/>
          <w:szCs w:val="28"/>
        </w:rPr>
        <w:t>размере</w:t>
      </w:r>
      <w:proofErr w:type="gramEnd"/>
      <w:r w:rsidRPr="00800FCC">
        <w:rPr>
          <w:sz w:val="28"/>
          <w:szCs w:val="28"/>
        </w:rPr>
        <w:t xml:space="preserve"> 4420 рублей;</w:t>
      </w:r>
    </w:p>
    <w:p w:rsidR="00800FCC" w:rsidRPr="00800FCC" w:rsidRDefault="00800FCC" w:rsidP="00800FCC">
      <w:pPr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00FCC">
        <w:rPr>
          <w:sz w:val="28"/>
          <w:szCs w:val="28"/>
        </w:rPr>
        <w:t>3) инвалидам молодого возраста в период временного трудоустройства – в</w:t>
      </w:r>
      <w:r w:rsidR="004F34DC">
        <w:rPr>
          <w:sz w:val="28"/>
          <w:szCs w:val="28"/>
        </w:rPr>
        <w:t> </w:t>
      </w:r>
      <w:proofErr w:type="gramStart"/>
      <w:r w:rsidRPr="00800FCC">
        <w:rPr>
          <w:sz w:val="28"/>
          <w:szCs w:val="28"/>
        </w:rPr>
        <w:t>размере</w:t>
      </w:r>
      <w:proofErr w:type="gramEnd"/>
      <w:r w:rsidRPr="00800FCC">
        <w:rPr>
          <w:sz w:val="28"/>
          <w:szCs w:val="28"/>
        </w:rPr>
        <w:t xml:space="preserve"> 6630 рублей;</w:t>
      </w:r>
    </w:p>
    <w:p w:rsidR="00800FCC" w:rsidRPr="00800FCC" w:rsidRDefault="00800FCC" w:rsidP="00800FCC">
      <w:pPr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00FCC">
        <w:rPr>
          <w:sz w:val="28"/>
          <w:szCs w:val="28"/>
        </w:rPr>
        <w:t xml:space="preserve">4) несовершеннолетним гражданам в </w:t>
      </w:r>
      <w:proofErr w:type="gramStart"/>
      <w:r w:rsidRPr="00800FCC">
        <w:rPr>
          <w:sz w:val="28"/>
          <w:szCs w:val="28"/>
        </w:rPr>
        <w:t>возрасте</w:t>
      </w:r>
      <w:proofErr w:type="gramEnd"/>
      <w:r w:rsidRPr="00800FCC">
        <w:rPr>
          <w:sz w:val="28"/>
          <w:szCs w:val="28"/>
        </w:rPr>
        <w:t xml:space="preserve"> от 14 до 18 лет в период временного трудоустройства – в размере 1105 рублей.».</w:t>
      </w:r>
    </w:p>
    <w:p w:rsidR="00800FCC" w:rsidRPr="00800FCC" w:rsidRDefault="004F34DC" w:rsidP="004F34DC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Действие </w:t>
      </w:r>
      <w:r w:rsidR="00800FCC" w:rsidRPr="00800FCC">
        <w:rPr>
          <w:sz w:val="28"/>
          <w:szCs w:val="28"/>
        </w:rPr>
        <w:t>настоящего постановления распространяется на отношения, возникшие с 1 января 2019 года.</w:t>
      </w:r>
    </w:p>
    <w:p w:rsidR="00800FCC" w:rsidRDefault="00800FCC" w:rsidP="00800FCC">
      <w:pPr>
        <w:widowControl w:val="0"/>
        <w:spacing w:line="252" w:lineRule="auto"/>
        <w:jc w:val="both"/>
        <w:rPr>
          <w:sz w:val="28"/>
          <w:szCs w:val="28"/>
        </w:rPr>
      </w:pPr>
    </w:p>
    <w:p w:rsidR="004F34DC" w:rsidRDefault="004F34DC" w:rsidP="00800FCC">
      <w:pPr>
        <w:widowControl w:val="0"/>
        <w:spacing w:line="252" w:lineRule="auto"/>
        <w:jc w:val="both"/>
        <w:rPr>
          <w:sz w:val="28"/>
          <w:szCs w:val="28"/>
        </w:rPr>
      </w:pPr>
    </w:p>
    <w:p w:rsidR="004F34DC" w:rsidRDefault="004F34DC" w:rsidP="00800FCC">
      <w:pPr>
        <w:widowControl w:val="0"/>
        <w:spacing w:line="252" w:lineRule="auto"/>
        <w:jc w:val="both"/>
        <w:rPr>
          <w:sz w:val="28"/>
          <w:szCs w:val="28"/>
        </w:rPr>
      </w:pPr>
    </w:p>
    <w:p w:rsidR="00800FCC" w:rsidRPr="00800FCC" w:rsidRDefault="00800FCC" w:rsidP="00800FCC">
      <w:pPr>
        <w:widowControl w:val="0"/>
        <w:adjustRightInd w:val="0"/>
        <w:spacing w:line="252" w:lineRule="auto"/>
        <w:jc w:val="both"/>
        <w:rPr>
          <w:sz w:val="28"/>
          <w:szCs w:val="28"/>
        </w:rPr>
      </w:pPr>
      <w:r w:rsidRPr="00800FCC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800FCC" w:rsidRDefault="00800FCC" w:rsidP="00800FCC">
      <w:pPr>
        <w:widowControl w:val="0"/>
        <w:adjustRightInd w:val="0"/>
        <w:spacing w:line="252" w:lineRule="auto"/>
        <w:rPr>
          <w:sz w:val="28"/>
          <w:szCs w:val="28"/>
        </w:rPr>
      </w:pPr>
    </w:p>
    <w:p w:rsidR="004F34DC" w:rsidRPr="004F34DC" w:rsidRDefault="004F34DC" w:rsidP="00800FCC">
      <w:pPr>
        <w:widowControl w:val="0"/>
        <w:adjustRightInd w:val="0"/>
        <w:spacing w:line="252" w:lineRule="auto"/>
        <w:rPr>
          <w:sz w:val="18"/>
          <w:szCs w:val="18"/>
        </w:rPr>
      </w:pPr>
    </w:p>
    <w:p w:rsidR="00800FCC" w:rsidRDefault="00800FCC" w:rsidP="00800FCC">
      <w:pPr>
        <w:widowControl w:val="0"/>
        <w:spacing w:line="252" w:lineRule="auto"/>
        <w:jc w:val="both"/>
      </w:pPr>
      <w:r>
        <w:t>Я.А Фролов</w:t>
      </w:r>
    </w:p>
    <w:p w:rsidR="00B32A16" w:rsidRPr="0086428B" w:rsidRDefault="00800FCC" w:rsidP="00800FCC">
      <w:pPr>
        <w:widowControl w:val="0"/>
        <w:spacing w:line="252" w:lineRule="auto"/>
        <w:rPr>
          <w:sz w:val="28"/>
          <w:szCs w:val="28"/>
        </w:rPr>
      </w:pPr>
      <w:r>
        <w:t>223 09 94</w:t>
      </w:r>
    </w:p>
    <w:sectPr w:rsidR="00B32A16" w:rsidRPr="0086428B" w:rsidSect="009E537D">
      <w:headerReference w:type="default" r:id="rId10"/>
      <w:footerReference w:type="first" r:id="rId11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A2" w:rsidRDefault="00E579A2">
      <w:r>
        <w:separator/>
      </w:r>
    </w:p>
  </w:endnote>
  <w:endnote w:type="continuationSeparator" w:id="0">
    <w:p w:rsidR="00E579A2" w:rsidRDefault="00E5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38249A">
      <w:rPr>
        <w:sz w:val="16"/>
        <w:szCs w:val="16"/>
      </w:rPr>
      <w:t>3</w:t>
    </w:r>
    <w:r w:rsidR="00800FCC">
      <w:rPr>
        <w:sz w:val="16"/>
        <w:szCs w:val="16"/>
      </w:rPr>
      <w:t>206</w:t>
    </w:r>
    <w:r w:rsidR="007F5D25">
      <w:rPr>
        <w:sz w:val="16"/>
        <w:szCs w:val="16"/>
      </w:rPr>
      <w:t>/</w:t>
    </w:r>
    <w:r w:rsidR="00800FCC">
      <w:rPr>
        <w:sz w:val="16"/>
        <w:szCs w:val="16"/>
      </w:rPr>
      <w:t>19</w:t>
    </w:r>
    <w:r w:rsidR="007F5D25">
      <w:rPr>
        <w:sz w:val="16"/>
        <w:szCs w:val="16"/>
      </w:rPr>
      <w:t>.</w:t>
    </w:r>
    <w:r w:rsidR="009C3A5D">
      <w:rPr>
        <w:sz w:val="16"/>
        <w:szCs w:val="16"/>
      </w:rPr>
      <w:t>0</w:t>
    </w:r>
    <w:r w:rsidR="00382890">
      <w:rPr>
        <w:sz w:val="16"/>
        <w:szCs w:val="16"/>
      </w:rPr>
      <w:t>3</w:t>
    </w:r>
    <w:r w:rsidR="007F5D25">
      <w:rPr>
        <w:sz w:val="16"/>
        <w:szCs w:val="16"/>
      </w:rPr>
      <w:t>.</w:t>
    </w:r>
    <w:r w:rsidR="007F5D25" w:rsidRPr="0026308A">
      <w:rPr>
        <w:sz w:val="16"/>
        <w:szCs w:val="16"/>
      </w:rPr>
      <w:t>201</w:t>
    </w:r>
    <w:r w:rsidR="009C3A5D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A2" w:rsidRDefault="00E579A2">
      <w:r>
        <w:separator/>
      </w:r>
    </w:p>
  </w:footnote>
  <w:footnote w:type="continuationSeparator" w:id="0">
    <w:p w:rsidR="00E579A2" w:rsidRDefault="00E57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92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67050"/>
    <w:rsid w:val="00071563"/>
    <w:rsid w:val="000755AB"/>
    <w:rsid w:val="00082A91"/>
    <w:rsid w:val="00084A05"/>
    <w:rsid w:val="00087885"/>
    <w:rsid w:val="0009402B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2F83"/>
    <w:rsid w:val="002437DF"/>
    <w:rsid w:val="00245EA5"/>
    <w:rsid w:val="002544E4"/>
    <w:rsid w:val="0026308A"/>
    <w:rsid w:val="00275133"/>
    <w:rsid w:val="002874D9"/>
    <w:rsid w:val="002B14DD"/>
    <w:rsid w:val="002B5397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6F9F"/>
    <w:rsid w:val="00312AAC"/>
    <w:rsid w:val="003223C9"/>
    <w:rsid w:val="003244DA"/>
    <w:rsid w:val="00333721"/>
    <w:rsid w:val="00334BBC"/>
    <w:rsid w:val="00335F31"/>
    <w:rsid w:val="00337959"/>
    <w:rsid w:val="003537E7"/>
    <w:rsid w:val="00363A5E"/>
    <w:rsid w:val="003660D2"/>
    <w:rsid w:val="00366C82"/>
    <w:rsid w:val="00371B1F"/>
    <w:rsid w:val="00373329"/>
    <w:rsid w:val="00374DBA"/>
    <w:rsid w:val="0037500E"/>
    <w:rsid w:val="0038249A"/>
    <w:rsid w:val="00382890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82CC9"/>
    <w:rsid w:val="00487186"/>
    <w:rsid w:val="00494265"/>
    <w:rsid w:val="004A0C9C"/>
    <w:rsid w:val="004B35AE"/>
    <w:rsid w:val="004D79F6"/>
    <w:rsid w:val="004F2066"/>
    <w:rsid w:val="004F34DC"/>
    <w:rsid w:val="004F47F9"/>
    <w:rsid w:val="004F7A23"/>
    <w:rsid w:val="00500085"/>
    <w:rsid w:val="0050792C"/>
    <w:rsid w:val="00513D5B"/>
    <w:rsid w:val="0051535B"/>
    <w:rsid w:val="005276A9"/>
    <w:rsid w:val="00533DFE"/>
    <w:rsid w:val="00541811"/>
    <w:rsid w:val="00544B70"/>
    <w:rsid w:val="0054795D"/>
    <w:rsid w:val="005527CC"/>
    <w:rsid w:val="00553D36"/>
    <w:rsid w:val="00567D45"/>
    <w:rsid w:val="00570DAC"/>
    <w:rsid w:val="00580C04"/>
    <w:rsid w:val="00592336"/>
    <w:rsid w:val="00592D36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52A28"/>
    <w:rsid w:val="00656DE3"/>
    <w:rsid w:val="00657B32"/>
    <w:rsid w:val="006631DB"/>
    <w:rsid w:val="00663F53"/>
    <w:rsid w:val="00674DC3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5D11"/>
    <w:rsid w:val="006B71F2"/>
    <w:rsid w:val="006C0476"/>
    <w:rsid w:val="006C1CBE"/>
    <w:rsid w:val="006C3C36"/>
    <w:rsid w:val="006F4ED9"/>
    <w:rsid w:val="006F7F05"/>
    <w:rsid w:val="00701F6A"/>
    <w:rsid w:val="00702E30"/>
    <w:rsid w:val="00703664"/>
    <w:rsid w:val="00706BC7"/>
    <w:rsid w:val="00714B9A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2808"/>
    <w:rsid w:val="00766B7E"/>
    <w:rsid w:val="0077114A"/>
    <w:rsid w:val="00781D01"/>
    <w:rsid w:val="00783B7F"/>
    <w:rsid w:val="00791515"/>
    <w:rsid w:val="007A56E0"/>
    <w:rsid w:val="007B543C"/>
    <w:rsid w:val="007C24F8"/>
    <w:rsid w:val="007C5FE0"/>
    <w:rsid w:val="007C655D"/>
    <w:rsid w:val="007D2FBC"/>
    <w:rsid w:val="007D4480"/>
    <w:rsid w:val="007D68AE"/>
    <w:rsid w:val="007F45E7"/>
    <w:rsid w:val="007F5D25"/>
    <w:rsid w:val="00800632"/>
    <w:rsid w:val="00800FCC"/>
    <w:rsid w:val="00804DE8"/>
    <w:rsid w:val="00811A02"/>
    <w:rsid w:val="00817E01"/>
    <w:rsid w:val="00830928"/>
    <w:rsid w:val="0083503D"/>
    <w:rsid w:val="00836F06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2DE2"/>
    <w:rsid w:val="00975560"/>
    <w:rsid w:val="00983122"/>
    <w:rsid w:val="00985FC8"/>
    <w:rsid w:val="009923FC"/>
    <w:rsid w:val="009A16F9"/>
    <w:rsid w:val="009A4BD7"/>
    <w:rsid w:val="009A502B"/>
    <w:rsid w:val="009A785B"/>
    <w:rsid w:val="009B3F24"/>
    <w:rsid w:val="009B4C6D"/>
    <w:rsid w:val="009C235F"/>
    <w:rsid w:val="009C3A5D"/>
    <w:rsid w:val="009C65E4"/>
    <w:rsid w:val="009C66FE"/>
    <w:rsid w:val="009D6CD3"/>
    <w:rsid w:val="009D7AA9"/>
    <w:rsid w:val="009E3E58"/>
    <w:rsid w:val="009E473B"/>
    <w:rsid w:val="009E537D"/>
    <w:rsid w:val="00A10E21"/>
    <w:rsid w:val="00A12F47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7A3B"/>
    <w:rsid w:val="00B016B8"/>
    <w:rsid w:val="00B020FF"/>
    <w:rsid w:val="00B02499"/>
    <w:rsid w:val="00B047BA"/>
    <w:rsid w:val="00B073E2"/>
    <w:rsid w:val="00B146D0"/>
    <w:rsid w:val="00B2406C"/>
    <w:rsid w:val="00B26F1E"/>
    <w:rsid w:val="00B327AA"/>
    <w:rsid w:val="00B32A16"/>
    <w:rsid w:val="00B40CD5"/>
    <w:rsid w:val="00B42602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F5C"/>
    <w:rsid w:val="00C77186"/>
    <w:rsid w:val="00C84D75"/>
    <w:rsid w:val="00C85F30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34FFC"/>
    <w:rsid w:val="00D52DE0"/>
    <w:rsid w:val="00D623E2"/>
    <w:rsid w:val="00D64ED5"/>
    <w:rsid w:val="00D72015"/>
    <w:rsid w:val="00D84EDC"/>
    <w:rsid w:val="00D93E6B"/>
    <w:rsid w:val="00DA0B7A"/>
    <w:rsid w:val="00DA196F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1CDA"/>
    <w:rsid w:val="00E32C57"/>
    <w:rsid w:val="00E351A5"/>
    <w:rsid w:val="00E376FB"/>
    <w:rsid w:val="00E43F8B"/>
    <w:rsid w:val="00E44DFC"/>
    <w:rsid w:val="00E555F8"/>
    <w:rsid w:val="00E55ADE"/>
    <w:rsid w:val="00E5658C"/>
    <w:rsid w:val="00E579A2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7410"/>
    <w:rsid w:val="00F074D9"/>
    <w:rsid w:val="00F16E57"/>
    <w:rsid w:val="00F21457"/>
    <w:rsid w:val="00F22523"/>
    <w:rsid w:val="00F25DC5"/>
    <w:rsid w:val="00F30B7D"/>
    <w:rsid w:val="00F32308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01EDAA-FC7D-4C54-A8AE-FF68ECA2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Ушкова Наталья Петровна</cp:lastModifiedBy>
  <cp:revision>2</cp:revision>
  <cp:lastPrinted>2019-01-09T03:43:00Z</cp:lastPrinted>
  <dcterms:created xsi:type="dcterms:W3CDTF">2020-05-13T05:38:00Z</dcterms:created>
  <dcterms:modified xsi:type="dcterms:W3CDTF">2020-05-13T05:38:00Z</dcterms:modified>
</cp:coreProperties>
</file>